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12" w:lineRule="exact"/>
        <w:ind w:left="681" w:right="0" w:firstLine="0"/>
        <w:jc w:val="left"/>
        <w:rPr>
          <w:rFonts w:hint="eastAsia" w:ascii="宋体" w:eastAsia="宋体"/>
          <w:b/>
          <w:sz w:val="44"/>
        </w:rPr>
      </w:pPr>
      <w:bookmarkStart w:id="0" w:name="2021年长乐区地方政府债务决算情况"/>
      <w:bookmarkEnd w:id="0"/>
      <w:r>
        <w:rPr>
          <w:rFonts w:hint="eastAsia" w:ascii="宋体" w:eastAsia="宋体"/>
          <w:b/>
          <w:sz w:val="44"/>
        </w:rPr>
        <w:t>202</w:t>
      </w:r>
      <w:r>
        <w:rPr>
          <w:rFonts w:hint="eastAsia" w:ascii="宋体" w:eastAsia="宋体"/>
          <w:b/>
          <w:sz w:val="44"/>
          <w:lang w:val="en-US" w:eastAsia="zh-CN"/>
        </w:rPr>
        <w:t>3</w:t>
      </w:r>
      <w:r>
        <w:rPr>
          <w:rFonts w:hint="eastAsia" w:ascii="宋体" w:eastAsia="宋体"/>
          <w:b/>
          <w:spacing w:val="-121"/>
          <w:sz w:val="44"/>
        </w:rPr>
        <w:t xml:space="preserve"> </w:t>
      </w:r>
      <w:r>
        <w:rPr>
          <w:rFonts w:hint="eastAsia" w:ascii="宋体" w:eastAsia="宋体"/>
          <w:b/>
          <w:sz w:val="44"/>
        </w:rPr>
        <w:t>年长乐区地方政府债务决算情况</w:t>
      </w:r>
    </w:p>
    <w:p>
      <w:pPr>
        <w:pStyle w:val="2"/>
        <w:spacing w:before="9"/>
        <w:ind w:left="0"/>
        <w:rPr>
          <w:rFonts w:ascii="宋体"/>
          <w:b/>
          <w:sz w:val="61"/>
        </w:rPr>
      </w:pPr>
    </w:p>
    <w:p>
      <w:pPr>
        <w:pStyle w:val="2"/>
        <w:spacing w:before="0"/>
        <w:ind w:left="712"/>
        <w:rPr>
          <w:rFonts w:hint="eastAsia" w:ascii="黑体" w:eastAsia="黑体"/>
        </w:rPr>
      </w:pPr>
      <w:r>
        <w:rPr>
          <w:rFonts w:hint="eastAsia" w:ascii="黑体" w:eastAsia="黑体"/>
        </w:rPr>
        <w:t>一、举借政府债务及债券资金使用安排情况</w:t>
      </w:r>
    </w:p>
    <w:p>
      <w:pPr>
        <w:pStyle w:val="2"/>
        <w:spacing w:before="159" w:line="333" w:lineRule="auto"/>
        <w:ind w:right="267" w:firstLine="592" w:firstLineChars="200"/>
        <w:jc w:val="both"/>
        <w:rPr>
          <w:spacing w:val="-10"/>
          <w:w w:val="99"/>
        </w:rPr>
      </w:pPr>
      <w:r>
        <w:rPr>
          <w:spacing w:val="-10"/>
          <w:w w:val="99"/>
        </w:rPr>
        <w:t>202</w:t>
      </w:r>
      <w:r>
        <w:rPr>
          <w:rFonts w:hint="eastAsia"/>
          <w:spacing w:val="-10"/>
          <w:w w:val="99"/>
          <w:lang w:val="en-US" w:eastAsia="zh-CN"/>
        </w:rPr>
        <w:t>3</w:t>
      </w:r>
      <w:r>
        <w:rPr>
          <w:spacing w:val="-10"/>
          <w:w w:val="99"/>
        </w:rPr>
        <w:t>年全区新增债务限额</w:t>
      </w:r>
      <w:r>
        <w:rPr>
          <w:rFonts w:hint="eastAsia"/>
          <w:spacing w:val="-10"/>
          <w:w w:val="99"/>
          <w:lang w:val="en-US" w:eastAsia="zh-CN"/>
        </w:rPr>
        <w:t>39.28</w:t>
      </w:r>
      <w:r>
        <w:rPr>
          <w:spacing w:val="-10"/>
          <w:w w:val="99"/>
        </w:rPr>
        <w:t>亿元，其中：一般债务</w:t>
      </w:r>
      <w:r>
        <w:rPr>
          <w:rFonts w:hint="eastAsia"/>
          <w:spacing w:val="-10"/>
          <w:w w:val="99"/>
          <w:lang w:val="en-US" w:eastAsia="zh-CN"/>
        </w:rPr>
        <w:t>2.06</w:t>
      </w:r>
      <w:r>
        <w:rPr>
          <w:spacing w:val="-10"/>
          <w:w w:val="99"/>
        </w:rPr>
        <w:t>亿元，安排用于</w:t>
      </w:r>
      <w:r>
        <w:rPr>
          <w:rFonts w:hint="eastAsia"/>
          <w:spacing w:val="-10"/>
          <w:w w:val="99"/>
        </w:rPr>
        <w:t>长乐区胪峰大道改造工程0.2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</w:rPr>
        <w:t>金福路及潭头连接线道路工程</w:t>
      </w:r>
      <w:r>
        <w:rPr>
          <w:rFonts w:hint="eastAsia"/>
          <w:spacing w:val="-10"/>
          <w:w w:val="99"/>
        </w:rPr>
        <w:tab/>
      </w:r>
      <w:r>
        <w:rPr>
          <w:rFonts w:hint="eastAsia"/>
          <w:spacing w:val="-10"/>
          <w:w w:val="99"/>
        </w:rPr>
        <w:t>0.2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</w:rPr>
        <w:t>岱岭隧道及连接线工程（一期）0.6</w:t>
      </w:r>
      <w:r>
        <w:rPr>
          <w:rFonts w:hint="eastAsia"/>
          <w:spacing w:val="-10"/>
          <w:w w:val="99"/>
          <w:lang w:val="en-US" w:eastAsia="zh-CN"/>
        </w:rPr>
        <w:t>9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</w:rPr>
        <w:t>文浮路潭头街段改造工程0.15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</w:rPr>
        <w:t>长乐区营滨路改建工程0.2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</w:rPr>
        <w:t>福州市长乐区长限生态补水泵站建设工程0.2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</w:rPr>
        <w:t>长乐区朝阳洞拓宽工程0.2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</w:rPr>
        <w:t>福州市长乐区海峡路小学教学综合楼及附属属设施建设项目0.12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</w:rPr>
        <w:t>福州市长乐区金峰前林小学教学综合楼及附属设施建设项目0.0</w:t>
      </w:r>
      <w:r>
        <w:rPr>
          <w:rFonts w:hint="eastAsia"/>
          <w:spacing w:val="-10"/>
          <w:w w:val="99"/>
          <w:lang w:val="en-US" w:eastAsia="zh-CN"/>
        </w:rPr>
        <w:t>4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</w:rPr>
        <w:t>潭头岭南小学教学综合楼及附属设施建设项目0.07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；</w:t>
      </w:r>
      <w:r>
        <w:rPr>
          <w:spacing w:val="-10"/>
          <w:w w:val="99"/>
        </w:rPr>
        <w:t>专项债务</w:t>
      </w:r>
      <w:r>
        <w:rPr>
          <w:rFonts w:hint="eastAsia"/>
          <w:spacing w:val="-10"/>
          <w:w w:val="99"/>
          <w:lang w:val="en-US" w:eastAsia="zh-CN"/>
        </w:rPr>
        <w:t>37.22</w:t>
      </w:r>
      <w:r>
        <w:rPr>
          <w:spacing w:val="-10"/>
          <w:w w:val="99"/>
        </w:rPr>
        <w:t>亿元，安排用</w:t>
      </w:r>
      <w:r>
        <w:rPr>
          <w:rFonts w:hint="eastAsia"/>
          <w:spacing w:val="-10"/>
          <w:w w:val="99"/>
          <w:lang w:val="en-US" w:eastAsia="zh-CN"/>
        </w:rPr>
        <w:t>于首占镇上洋片区安置房一期2.6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  <w:lang w:val="en-US" w:eastAsia="zh-CN"/>
        </w:rPr>
        <w:t>滨海新城租赁住房四期0.8</w:t>
      </w:r>
      <w:r>
        <w:rPr>
          <w:spacing w:val="-10"/>
          <w:w w:val="99"/>
        </w:rPr>
        <w:t>亿</w:t>
      </w:r>
      <w:bookmarkStart w:id="4" w:name="_GoBack"/>
      <w:bookmarkEnd w:id="4"/>
      <w:r>
        <w:rPr>
          <w:spacing w:val="-10"/>
          <w:w w:val="99"/>
        </w:rPr>
        <w:t>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  <w:lang w:val="en-US" w:eastAsia="zh-CN"/>
        </w:rPr>
        <w:t>长乐区龙门城市停车场建设工程0.1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  <w:lang w:val="en-US" w:eastAsia="zh-CN"/>
        </w:rPr>
        <w:t>长乐区牛山体育公园0.3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  <w:lang w:val="en-US" w:eastAsia="zh-CN"/>
        </w:rPr>
        <w:t>长乐职业中专学校实训中心1#楼工程项目及附属配套工程0.35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  <w:lang w:val="en-US" w:eastAsia="zh-CN"/>
        </w:rPr>
        <w:t>万寿综合交通枢纽站0.16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  <w:lang w:val="en-US" w:eastAsia="zh-CN"/>
        </w:rPr>
        <w:t>长乐东区水厂水质提升工程项目0.2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rFonts w:hint="eastAsia"/>
          <w:spacing w:val="-10"/>
          <w:w w:val="99"/>
          <w:lang w:val="en-US" w:eastAsia="zh-CN"/>
        </w:rPr>
        <w:t>福州至长乐机场城际铁路（F1线）27.28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、福州市长乐区城乡供水一体化工程一期项目2.6</w:t>
      </w:r>
      <w:r>
        <w:rPr>
          <w:rFonts w:hint="eastAsia"/>
          <w:spacing w:val="-10"/>
          <w:w w:val="99"/>
          <w:lang w:val="en-US" w:eastAsia="zh-CN"/>
        </w:rPr>
        <w:t>3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、西关安置房0.6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、福州市长乐区学前教育工程包0.1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、鹤上镇公益性公墓0.02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、长乐区吴航街道2023年老旧小区改造项目0.55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、长乐区2023-2024年度老旧小区改造提升项目（航城街道）0.3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、长乐区学前教育补短板工程0.1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、长乐区医疗卫生补短板项目（一期）0.15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、福州市长乐区城市智慧停车场及配套工程0.3</w:t>
      </w:r>
      <w:r>
        <w:rPr>
          <w:spacing w:val="-10"/>
          <w:w w:val="99"/>
        </w:rPr>
        <w:t>亿元</w:t>
      </w:r>
      <w:r>
        <w:rPr>
          <w:rFonts w:hint="eastAsia"/>
          <w:spacing w:val="-10"/>
          <w:w w:val="99"/>
          <w:lang w:eastAsia="zh-CN"/>
        </w:rPr>
        <w:t>、长乐区老年人体育活动中心项目、福北线给水管道改造及原水管道新建工程第一标段、长乐区鳌头溪流域生态系统综合治理一期工程、福平铁路长乐站站前广场及配套设施工程、中国共产党福州市长乐区委员会党校二期项目、长乐市莲柄港重要主河道整治工程（潭头文岭B标段）、福州市长乐区长限生态补水泵站工程、长乐空港医院、长乐市古槐镇中心卫生院新院（一期）、长乐区会堂南路（省道203至龙景路）道路工程、长乐区灌区补水及智慧水系配套工程、长乐区新区体育场改造提升项目</w:t>
      </w:r>
      <w:r>
        <w:rPr>
          <w:spacing w:val="-10"/>
          <w:w w:val="99"/>
        </w:rPr>
        <w:t>。</w:t>
      </w:r>
    </w:p>
    <w:p>
      <w:pPr>
        <w:pStyle w:val="2"/>
        <w:ind w:left="712"/>
        <w:rPr>
          <w:rFonts w:hint="eastAsia" w:ascii="黑体" w:eastAsia="黑体"/>
        </w:rPr>
      </w:pPr>
      <w:r>
        <w:rPr>
          <w:rFonts w:hint="eastAsia" w:ascii="黑体" w:eastAsia="黑体"/>
        </w:rPr>
        <w:t>二、地方政府债务限额余额情况</w:t>
      </w:r>
    </w:p>
    <w:p>
      <w:pPr>
        <w:pStyle w:val="2"/>
        <w:spacing w:before="162" w:line="331" w:lineRule="auto"/>
        <w:ind w:right="267" w:firstLine="592"/>
      </w:pPr>
      <w:r>
        <w:t>截至202</w:t>
      </w:r>
      <w:r>
        <w:rPr>
          <w:rFonts w:hint="eastAsia"/>
          <w:lang w:val="en-US" w:eastAsia="zh-CN"/>
        </w:rPr>
        <w:t>3</w:t>
      </w:r>
      <w:r>
        <w:t>年底，全区政府债务余额</w:t>
      </w:r>
      <w:r>
        <w:rPr>
          <w:rFonts w:hint="eastAsia"/>
          <w:lang w:val="en-US" w:eastAsia="zh-CN"/>
        </w:rPr>
        <w:t>147.57</w:t>
      </w:r>
      <w:r>
        <w:t>亿元，债务余额严格控制在省财政核定的限额</w:t>
      </w:r>
      <w:r>
        <w:rPr>
          <w:rFonts w:hint="eastAsia"/>
          <w:lang w:val="en-US" w:eastAsia="zh-CN"/>
        </w:rPr>
        <w:t>151.17</w:t>
      </w:r>
      <w:r>
        <w:t>亿元内（所属地区地方政府债务限额及余额详见附表）。</w:t>
      </w:r>
    </w:p>
    <w:p>
      <w:pPr>
        <w:pStyle w:val="2"/>
        <w:spacing w:before="162"/>
        <w:ind w:left="712"/>
        <w:rPr>
          <w:rFonts w:hint="eastAsia" w:ascii="黑体" w:eastAsia="黑体"/>
        </w:rPr>
      </w:pPr>
      <w:r>
        <w:rPr>
          <w:rFonts w:hint="eastAsia" w:ascii="黑体" w:eastAsia="黑体"/>
        </w:rPr>
        <w:t>三、地方政府债券发行情况</w:t>
      </w:r>
    </w:p>
    <w:p>
      <w:pPr>
        <w:pStyle w:val="2"/>
        <w:spacing w:before="159" w:line="333" w:lineRule="auto"/>
        <w:ind w:right="107" w:firstLine="617"/>
      </w:pPr>
      <w:r>
        <w:t>202</w:t>
      </w:r>
      <w:r>
        <w:rPr>
          <w:rFonts w:hint="eastAsia"/>
          <w:lang w:val="en-US" w:eastAsia="zh-CN"/>
        </w:rPr>
        <w:t>3</w:t>
      </w:r>
      <w:r>
        <w:t>年全区由省级代为发行地方政府债券</w:t>
      </w:r>
      <w:r>
        <w:rPr>
          <w:rFonts w:hint="eastAsia"/>
          <w:lang w:val="en-US" w:eastAsia="zh-CN"/>
        </w:rPr>
        <w:t>50.1</w:t>
      </w:r>
      <w:r>
        <w:t>亿元（地方政府债券发行数详见附表）。</w:t>
      </w:r>
    </w:p>
    <w:p>
      <w:pPr>
        <w:pStyle w:val="2"/>
        <w:spacing w:line="331" w:lineRule="auto"/>
        <w:ind w:right="107" w:firstLine="617"/>
      </w:pPr>
      <w:r>
        <w:rPr>
          <w:spacing w:val="-11"/>
        </w:rPr>
        <w:t>按债券性质分：由省级代为发行新增债券</w:t>
      </w:r>
      <w:r>
        <w:rPr>
          <w:rFonts w:hint="eastAsia"/>
          <w:spacing w:val="-11"/>
          <w:lang w:val="en-US" w:eastAsia="zh-CN"/>
        </w:rPr>
        <w:t>39.28</w:t>
      </w:r>
      <w:r>
        <w:rPr>
          <w:spacing w:val="-11"/>
        </w:rPr>
        <w:t>亿元、由省级代为发行再融资债券</w:t>
      </w:r>
      <w:r>
        <w:rPr>
          <w:rFonts w:hint="eastAsia"/>
          <w:spacing w:val="-11"/>
          <w:lang w:val="en-US" w:eastAsia="zh-CN"/>
        </w:rPr>
        <w:t>10.82</w:t>
      </w:r>
      <w:r>
        <w:rPr>
          <w:spacing w:val="-8"/>
        </w:rPr>
        <w:t>亿元。</w:t>
      </w:r>
    </w:p>
    <w:p>
      <w:pPr>
        <w:pStyle w:val="2"/>
        <w:spacing w:before="40"/>
        <w:ind w:left="736"/>
        <w:rPr>
          <w:rFonts w:hint="eastAsia" w:ascii="黑体" w:eastAsia="黑体"/>
        </w:rPr>
      </w:pPr>
      <w:r>
        <w:rPr>
          <w:rFonts w:hint="eastAsia" w:ascii="黑体" w:eastAsia="黑体"/>
        </w:rPr>
        <w:t>四、地方政府债券还本付息情况</w:t>
      </w:r>
    </w:p>
    <w:p>
      <w:pPr>
        <w:pStyle w:val="2"/>
        <w:spacing w:before="162" w:line="331" w:lineRule="auto"/>
        <w:ind w:right="109" w:firstLine="744"/>
      </w:pPr>
      <w:r>
        <w:t>202</w:t>
      </w:r>
      <w:r>
        <w:rPr>
          <w:rFonts w:hint="eastAsia"/>
          <w:lang w:val="en-US" w:eastAsia="zh-CN"/>
        </w:rPr>
        <w:t>3</w:t>
      </w:r>
      <w:r>
        <w:t>年全区地方政府债券还本付息</w:t>
      </w:r>
      <w:r>
        <w:rPr>
          <w:rFonts w:hint="eastAsia"/>
          <w:lang w:val="en-US" w:eastAsia="zh-CN"/>
        </w:rPr>
        <w:t>17.41</w:t>
      </w:r>
      <w:r>
        <w:t>亿元（地方政府债券还本付息数详见附表）。</w:t>
      </w:r>
    </w:p>
    <w:p>
      <w:pPr>
        <w:spacing w:after="0" w:line="331" w:lineRule="auto"/>
        <w:sectPr>
          <w:pgSz w:w="11910" w:h="16840"/>
          <w:pgMar w:top="2098" w:right="1474" w:bottom="1984" w:left="1587" w:header="720" w:footer="720" w:gutter="0"/>
          <w:cols w:space="720" w:num="1"/>
        </w:sectPr>
      </w:pPr>
    </w:p>
    <w:p>
      <w:pPr>
        <w:spacing w:before="0" w:line="476" w:lineRule="exact"/>
        <w:ind w:left="1124" w:right="0" w:firstLine="0"/>
        <w:jc w:val="left"/>
        <w:rPr>
          <w:rFonts w:hint="eastAsia" w:ascii="黑体" w:eastAsia="黑体"/>
          <w:sz w:val="40"/>
        </w:rPr>
      </w:pPr>
      <w:bookmarkStart w:id="1" w:name="2021年长乐区地方政府债券"/>
      <w:bookmarkEnd w:id="1"/>
      <w:bookmarkStart w:id="2" w:name="2020决算 "/>
      <w:bookmarkEnd w:id="2"/>
      <w:r>
        <w:rPr>
          <w:rFonts w:hint="eastAsia" w:ascii="黑体" w:eastAsia="黑体"/>
          <w:sz w:val="40"/>
        </w:rPr>
        <w:t>202</w:t>
      </w:r>
      <w:r>
        <w:rPr>
          <w:rFonts w:hint="eastAsia" w:ascii="黑体" w:eastAsia="黑体"/>
          <w:sz w:val="40"/>
          <w:lang w:val="en-US" w:eastAsia="zh-CN"/>
        </w:rPr>
        <w:t>3</w:t>
      </w:r>
      <w:r>
        <w:rPr>
          <w:rFonts w:hint="eastAsia" w:ascii="黑体" w:eastAsia="黑体"/>
          <w:sz w:val="40"/>
        </w:rPr>
        <w:t>年长乐区地方政府债务限额余额情况表</w:t>
      </w:r>
    </w:p>
    <w:p>
      <w:pPr>
        <w:spacing w:before="22" w:after="8"/>
        <w:ind w:left="0" w:right="157" w:firstLine="0"/>
        <w:jc w:val="right"/>
        <w:rPr>
          <w:rFonts w:hint="eastAsia" w:ascii="宋体" w:eastAsia="宋体"/>
          <w:b/>
          <w:sz w:val="22"/>
        </w:rPr>
      </w:pPr>
      <w:r>
        <w:rPr>
          <w:rFonts w:hint="eastAsia" w:ascii="宋体" w:eastAsia="宋体"/>
          <w:b/>
          <w:sz w:val="22"/>
        </w:rPr>
        <w:t>单位：亿元</w:t>
      </w:r>
    </w:p>
    <w:tbl>
      <w:tblPr>
        <w:tblStyle w:val="3"/>
        <w:tblW w:w="0" w:type="auto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3754"/>
        <w:gridCol w:w="39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891" w:type="dxa"/>
          </w:tcPr>
          <w:p>
            <w:pPr>
              <w:pStyle w:val="7"/>
              <w:spacing w:before="31"/>
              <w:ind w:right="582"/>
              <w:rPr>
                <w:b/>
                <w:sz w:val="22"/>
              </w:rPr>
            </w:pPr>
            <w:r>
              <w:rPr>
                <w:b/>
                <w:sz w:val="22"/>
              </w:rPr>
              <w:t>地区</w:t>
            </w:r>
          </w:p>
        </w:tc>
        <w:tc>
          <w:tcPr>
            <w:tcW w:w="3754" w:type="dxa"/>
          </w:tcPr>
          <w:p>
            <w:pPr>
              <w:pStyle w:val="7"/>
              <w:spacing w:before="31"/>
              <w:ind w:left="631" w:right="631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3</w:t>
            </w:r>
            <w:r>
              <w:rPr>
                <w:b/>
                <w:sz w:val="22"/>
              </w:rPr>
              <w:t>年地方政府债务限额</w:t>
            </w:r>
          </w:p>
        </w:tc>
        <w:tc>
          <w:tcPr>
            <w:tcW w:w="3989" w:type="dxa"/>
          </w:tcPr>
          <w:p>
            <w:pPr>
              <w:pStyle w:val="7"/>
              <w:spacing w:before="31"/>
              <w:ind w:left="860" w:right="858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3</w:t>
            </w:r>
            <w:r>
              <w:rPr>
                <w:b/>
                <w:sz w:val="22"/>
              </w:rPr>
              <w:t>年末政府债务余额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891" w:type="dxa"/>
          </w:tcPr>
          <w:p>
            <w:pPr>
              <w:pStyle w:val="7"/>
              <w:spacing w:before="31"/>
              <w:ind w:right="584"/>
              <w:rPr>
                <w:b/>
                <w:sz w:val="22"/>
              </w:rPr>
            </w:pPr>
            <w:r>
              <w:rPr>
                <w:b/>
                <w:sz w:val="22"/>
              </w:rPr>
              <w:t>长乐区</w:t>
            </w:r>
          </w:p>
        </w:tc>
        <w:tc>
          <w:tcPr>
            <w:tcW w:w="3754" w:type="dxa"/>
          </w:tcPr>
          <w:p>
            <w:pPr>
              <w:pStyle w:val="7"/>
              <w:spacing w:before="31"/>
              <w:ind w:left="631" w:right="617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151.17</w:t>
            </w:r>
          </w:p>
        </w:tc>
        <w:tc>
          <w:tcPr>
            <w:tcW w:w="3989" w:type="dxa"/>
          </w:tcPr>
          <w:p>
            <w:pPr>
              <w:pStyle w:val="7"/>
              <w:spacing w:before="31"/>
              <w:ind w:left="860" w:right="846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147.57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right="1020" w:bottom="280" w:left="1000" w:header="720" w:footer="720" w:gutter="0"/>
          <w:cols w:space="720" w:num="1"/>
        </w:sectPr>
      </w:pPr>
    </w:p>
    <w:p>
      <w:pPr>
        <w:spacing w:before="0" w:line="457" w:lineRule="exact"/>
        <w:ind w:left="807" w:right="0" w:firstLine="0"/>
        <w:jc w:val="left"/>
        <w:rPr>
          <w:rFonts w:hint="eastAsia" w:ascii="黑体" w:eastAsia="黑体"/>
          <w:sz w:val="38"/>
        </w:rPr>
      </w:pPr>
      <w:bookmarkStart w:id="3" w:name="2020决算发行付息"/>
      <w:bookmarkEnd w:id="3"/>
      <w:r>
        <w:rPr>
          <w:rFonts w:hint="eastAsia" w:ascii="黑体" w:eastAsia="黑体"/>
          <w:sz w:val="38"/>
        </w:rPr>
        <w:t>202</w:t>
      </w:r>
      <w:r>
        <w:rPr>
          <w:rFonts w:hint="eastAsia" w:ascii="黑体" w:eastAsia="黑体"/>
          <w:sz w:val="38"/>
          <w:lang w:val="en-US" w:eastAsia="zh-CN"/>
        </w:rPr>
        <w:t>3</w:t>
      </w:r>
      <w:r>
        <w:rPr>
          <w:rFonts w:hint="eastAsia" w:ascii="黑体" w:eastAsia="黑体"/>
          <w:sz w:val="38"/>
        </w:rPr>
        <w:t>年长乐区地方政府债券发行及还本付息情况表</w:t>
      </w:r>
    </w:p>
    <w:p>
      <w:pPr>
        <w:spacing w:before="11"/>
        <w:ind w:left="0" w:right="161" w:firstLine="0"/>
        <w:jc w:val="right"/>
        <w:rPr>
          <w:rFonts w:hint="eastAsia" w:ascii="宋体" w:eastAsia="宋体"/>
          <w:b/>
          <w:sz w:val="23"/>
        </w:rPr>
      </w:pPr>
      <w:r>
        <w:rPr>
          <w:rFonts w:hint="eastAsia" w:ascii="宋体" w:eastAsia="宋体"/>
          <w:b/>
          <w:sz w:val="23"/>
        </w:rPr>
        <w:t>单位：亿元</w:t>
      </w:r>
    </w:p>
    <w:tbl>
      <w:tblPr>
        <w:tblStyle w:val="3"/>
        <w:tblW w:w="0" w:type="auto"/>
        <w:tblInd w:w="1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3842"/>
        <w:gridCol w:w="38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161" w:type="dxa"/>
            <w:tcBorders>
              <w:left w:val="single" w:color="000000" w:sz="4" w:space="0"/>
            </w:tcBorders>
          </w:tcPr>
          <w:p>
            <w:pPr>
              <w:pStyle w:val="7"/>
              <w:ind w:left="736" w:right="734"/>
              <w:rPr>
                <w:b/>
                <w:sz w:val="21"/>
              </w:rPr>
            </w:pPr>
            <w:r>
              <w:rPr>
                <w:b/>
                <w:sz w:val="21"/>
              </w:rPr>
              <w:t>地区</w:t>
            </w:r>
          </w:p>
        </w:tc>
        <w:tc>
          <w:tcPr>
            <w:tcW w:w="3842" w:type="dxa"/>
          </w:tcPr>
          <w:p>
            <w:pPr>
              <w:pStyle w:val="7"/>
              <w:ind w:left="625"/>
              <w:rPr>
                <w:b/>
                <w:sz w:val="21"/>
              </w:rPr>
            </w:pPr>
            <w:r>
              <w:rPr>
                <w:b/>
                <w:sz w:val="21"/>
              </w:rPr>
              <w:t>202</w:t>
            </w:r>
            <w:r>
              <w:rPr>
                <w:rFonts w:hint="eastAsia"/>
                <w:b/>
                <w:sz w:val="21"/>
                <w:lang w:val="en-US" w:eastAsia="zh-CN"/>
              </w:rPr>
              <w:t>3</w:t>
            </w:r>
            <w:r>
              <w:rPr>
                <w:b/>
                <w:sz w:val="21"/>
              </w:rPr>
              <w:t>年地方政府债券发行额</w:t>
            </w:r>
          </w:p>
        </w:tc>
        <w:tc>
          <w:tcPr>
            <w:tcW w:w="3828" w:type="dxa"/>
          </w:tcPr>
          <w:p>
            <w:pPr>
              <w:pStyle w:val="7"/>
              <w:ind w:left="618" w:right="618"/>
              <w:rPr>
                <w:b/>
                <w:sz w:val="21"/>
              </w:rPr>
            </w:pPr>
            <w:r>
              <w:rPr>
                <w:b/>
                <w:sz w:val="21"/>
              </w:rPr>
              <w:t>202</w:t>
            </w:r>
            <w:r>
              <w:rPr>
                <w:rFonts w:hint="eastAsia"/>
                <w:b/>
                <w:sz w:val="21"/>
                <w:lang w:val="en-US" w:eastAsia="zh-CN"/>
              </w:rPr>
              <w:t>3</w:t>
            </w:r>
            <w:r>
              <w:rPr>
                <w:b/>
                <w:sz w:val="21"/>
              </w:rPr>
              <w:t>地方政府债券还本付息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161" w:type="dxa"/>
            <w:tcBorders>
              <w:left w:val="single" w:color="000000" w:sz="4" w:space="0"/>
            </w:tcBorders>
          </w:tcPr>
          <w:p>
            <w:pPr>
              <w:pStyle w:val="7"/>
              <w:ind w:left="736" w:right="736"/>
              <w:rPr>
                <w:b/>
                <w:sz w:val="21"/>
              </w:rPr>
            </w:pPr>
            <w:r>
              <w:rPr>
                <w:b/>
                <w:sz w:val="21"/>
              </w:rPr>
              <w:t>长乐区</w:t>
            </w:r>
          </w:p>
        </w:tc>
        <w:tc>
          <w:tcPr>
            <w:tcW w:w="3842" w:type="dxa"/>
          </w:tcPr>
          <w:p>
            <w:pPr>
              <w:pStyle w:val="7"/>
              <w:ind w:left="625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50.1</w:t>
            </w:r>
          </w:p>
        </w:tc>
        <w:tc>
          <w:tcPr>
            <w:tcW w:w="3828" w:type="dxa"/>
          </w:tcPr>
          <w:p>
            <w:pPr>
              <w:pStyle w:val="7"/>
              <w:ind w:left="618" w:right="616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17.41</w:t>
            </w:r>
          </w:p>
        </w:tc>
      </w:tr>
    </w:tbl>
    <w:p/>
    <w:sectPr>
      <w:pgSz w:w="11910" w:h="16840"/>
      <w:pgMar w:top="1060" w:right="92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Y3ZDhiOWZjZDQ0MDkwZjhhZTUxN2RjMDQ2NWEifQ=="/>
  </w:docVars>
  <w:rsids>
    <w:rsidRoot w:val="00000000"/>
    <w:rsid w:val="0E5757F4"/>
    <w:rsid w:val="206E57B8"/>
    <w:rsid w:val="24764AC6"/>
    <w:rsid w:val="35AB2B56"/>
    <w:rsid w:val="5C820759"/>
    <w:rsid w:val="62A32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7"/>
      <w:ind w:left="119"/>
    </w:pPr>
    <w:rPr>
      <w:rFonts w:ascii="仿宋" w:hAnsi="仿宋" w:eastAsia="仿宋" w:cs="仿宋"/>
      <w:sz w:val="32"/>
      <w:szCs w:val="32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</w:style>
  <w:style w:type="paragraph" w:customStyle="1" w:styleId="7">
    <w:name w:val="Table Paragraph"/>
    <w:basedOn w:val="1"/>
    <w:autoRedefine/>
    <w:qFormat/>
    <w:uiPriority w:val="1"/>
    <w:pPr>
      <w:spacing w:before="22"/>
      <w:ind w:left="584" w:right="625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2023-12-29T11:52:00Z</dcterms:created>
  <dc:creator>HP</dc:creator>
  <cp:lastModifiedBy>初寧</cp:lastModifiedBy>
  <dcterms:modified xsi:type="dcterms:W3CDTF">2024-01-22T01:10:51Z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2023-12-29T00:00:00Z</vt:filetime>
  </property>
  <property fmtid="{D5CDD505-2E9C-101B-9397-08002B2CF9AE}" pid="3" name="KSOProductBuildVer">
    <vt:lpwstr>2052-12.1.0.16120</vt:lpwstr>
  </property>
  <property fmtid="{D5CDD505-2E9C-101B-9397-08002B2CF9AE}" pid="4" name="ICV">
    <vt:lpwstr>8EE90ECB083A428AB5C408D3DFE6E40C_13</vt:lpwstr>
  </property>
</Properties>
</file>