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黑体" w:hAnsi="黑体" w:eastAsia="黑体" w:cs="仿宋"/>
          <w:spacing w:val="-6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pacing w:val="-6"/>
          <w:sz w:val="28"/>
          <w:szCs w:val="28"/>
          <w:lang w:val="en-US" w:eastAsia="zh-CN"/>
        </w:rPr>
        <w:t xml:space="preserve"> </w:t>
      </w:r>
    </w:p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长乐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区地方政府债务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预算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color w:val="auto"/>
          <w:spacing w:val="-6"/>
        </w:rPr>
      </w:pPr>
      <w:r>
        <w:rPr>
          <w:rFonts w:hint="eastAsia" w:ascii="黑体" w:hAnsi="黑体" w:eastAsia="黑体" w:cs="仿宋"/>
          <w:color w:val="auto"/>
          <w:spacing w:val="-6"/>
        </w:rPr>
        <w:t>一、举借政府债务情况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pacing w:val="-6"/>
        </w:rPr>
        <w:t>年全区新增政府债务限额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12.08</w:t>
      </w:r>
      <w:r>
        <w:rPr>
          <w:rFonts w:hint="eastAsia" w:ascii="仿宋" w:hAnsi="仿宋" w:eastAsia="仿宋" w:cs="仿宋"/>
          <w:color w:val="auto"/>
          <w:spacing w:val="-6"/>
        </w:rPr>
        <w:t>亿元，其中：新增政府一般债务限额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3.48</w:t>
      </w:r>
      <w:r>
        <w:rPr>
          <w:rFonts w:hint="eastAsia" w:ascii="仿宋" w:hAnsi="仿宋" w:eastAsia="仿宋" w:cs="仿宋"/>
          <w:color w:val="auto"/>
          <w:spacing w:val="-6"/>
        </w:rPr>
        <w:t>亿元；新增政府专项债务限额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8.6</w:t>
      </w:r>
      <w:r>
        <w:rPr>
          <w:rFonts w:hint="eastAsia" w:ascii="仿宋" w:hAnsi="仿宋" w:eastAsia="仿宋" w:cs="仿宋"/>
          <w:color w:val="auto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color w:val="auto"/>
          <w:spacing w:val="-6"/>
        </w:rPr>
      </w:pPr>
      <w:r>
        <w:rPr>
          <w:rFonts w:hint="eastAsia" w:ascii="黑体" w:hAnsi="黑体" w:eastAsia="黑体" w:cs="仿宋"/>
          <w:color w:val="auto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Times New Roman"/>
          <w:b/>
          <w:bCs/>
          <w:color w:val="auto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</w:rPr>
        <w:t>截至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pacing w:val="-6"/>
        </w:rPr>
        <w:t>年底，全区政府债务余额预计执行数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67.89</w:t>
      </w:r>
      <w:r>
        <w:rPr>
          <w:rFonts w:hint="eastAsia" w:ascii="仿宋" w:hAnsi="仿宋" w:eastAsia="仿宋" w:cs="仿宋"/>
          <w:color w:val="auto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73.74</w:t>
      </w:r>
      <w:r>
        <w:rPr>
          <w:rFonts w:hint="eastAsia" w:ascii="仿宋" w:hAnsi="仿宋" w:eastAsia="仿宋" w:cs="仿宋"/>
          <w:color w:val="auto"/>
          <w:spacing w:val="-6"/>
        </w:rPr>
        <w:t>亿元内（地方政府债务限额及余额预计执行数详见附表）。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color w:val="auto"/>
          <w:spacing w:val="-6"/>
        </w:rPr>
      </w:pPr>
      <w:r>
        <w:rPr>
          <w:rFonts w:hint="eastAsia" w:ascii="黑体" w:hAnsi="黑体" w:eastAsia="黑体" w:cs="仿宋"/>
          <w:color w:val="auto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pacing w:val="-6"/>
        </w:rPr>
        <w:t>年全区由省级代为发行地方政府债券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14.52</w:t>
      </w:r>
      <w:r>
        <w:rPr>
          <w:rFonts w:hint="eastAsia" w:ascii="仿宋" w:hAnsi="仿宋" w:eastAsia="仿宋" w:cs="仿宋"/>
          <w:color w:val="auto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12.07</w:t>
      </w:r>
      <w:r>
        <w:rPr>
          <w:rFonts w:hint="eastAsia" w:ascii="仿宋" w:hAnsi="仿宋" w:eastAsia="仿宋" w:cs="仿宋"/>
          <w:color w:val="auto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2.45</w:t>
      </w:r>
      <w:r>
        <w:rPr>
          <w:rFonts w:hint="eastAsia" w:ascii="仿宋" w:hAnsi="仿宋" w:eastAsia="仿宋" w:cs="仿宋"/>
          <w:color w:val="auto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color w:val="auto"/>
          <w:spacing w:val="-6"/>
        </w:rPr>
      </w:pPr>
      <w:r>
        <w:rPr>
          <w:rFonts w:hint="eastAsia" w:ascii="黑体" w:hAnsi="黑体" w:eastAsia="黑体" w:cs="仿宋"/>
          <w:color w:val="auto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color w:val="auto"/>
          <w:spacing w:val="-6"/>
          <w:highlight w:val="none"/>
        </w:rPr>
      </w:pPr>
      <w:r>
        <w:rPr>
          <w:rFonts w:hint="eastAsia" w:ascii="仿宋" w:hAnsi="仿宋" w:eastAsia="仿宋" w:cs="仿宋"/>
          <w:color w:val="auto"/>
          <w:spacing w:val="-6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pacing w:val="-6"/>
          <w:highlight w:val="none"/>
        </w:rPr>
        <w:t>年全区地方政府债券还本付息</w:t>
      </w:r>
      <w:r>
        <w:rPr>
          <w:rFonts w:hint="eastAsia" w:ascii="仿宋" w:hAnsi="仿宋" w:eastAsia="仿宋" w:cs="仿宋"/>
          <w:color w:val="auto"/>
          <w:spacing w:val="-6"/>
          <w:highlight w:val="none"/>
          <w:lang w:val="en-US" w:eastAsia="zh-CN"/>
        </w:rPr>
        <w:t>7.06</w:t>
      </w:r>
      <w:r>
        <w:rPr>
          <w:rFonts w:hint="eastAsia" w:ascii="仿宋" w:hAnsi="仿宋" w:eastAsia="仿宋" w:cs="仿宋"/>
          <w:color w:val="auto"/>
          <w:spacing w:val="-6"/>
          <w:highlight w:val="none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color w:val="auto"/>
          <w:spacing w:val="-6"/>
          <w:highlight w:val="none"/>
        </w:rPr>
      </w:pPr>
      <w:r>
        <w:rPr>
          <w:rFonts w:hint="eastAsia" w:ascii="仿宋" w:hAnsi="仿宋" w:eastAsia="仿宋" w:cs="仿宋"/>
          <w:color w:val="auto"/>
          <w:spacing w:val="-6"/>
          <w:highlight w:val="none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spacing w:val="-6"/>
          <w:highlight w:val="none"/>
        </w:rPr>
        <w:t>年全区地方政府债券还本付息</w:t>
      </w:r>
      <w:r>
        <w:rPr>
          <w:rFonts w:hint="eastAsia" w:ascii="仿宋" w:hAnsi="仿宋" w:eastAsia="仿宋" w:cs="仿宋"/>
          <w:color w:val="auto"/>
          <w:spacing w:val="-6"/>
          <w:highlight w:val="none"/>
          <w:lang w:val="en-US" w:eastAsia="zh-CN"/>
        </w:rPr>
        <w:t>10.56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-6"/>
          <w:highlight w:val="none"/>
        </w:rPr>
        <w:t>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  <w:highlight w:val="yellow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951604"/>
    <w:rsid w:val="009F6D5E"/>
    <w:rsid w:val="00BB5989"/>
    <w:rsid w:val="05EF5A5B"/>
    <w:rsid w:val="1C0275B4"/>
    <w:rsid w:val="1E636948"/>
    <w:rsid w:val="2D732407"/>
    <w:rsid w:val="37783CC0"/>
    <w:rsid w:val="488612D4"/>
    <w:rsid w:val="4A7552D7"/>
    <w:rsid w:val="57F52891"/>
    <w:rsid w:val="5E320B79"/>
    <w:rsid w:val="62106F93"/>
    <w:rsid w:val="639F0706"/>
    <w:rsid w:val="66A9267F"/>
    <w:rsid w:val="69963644"/>
    <w:rsid w:val="6E991623"/>
    <w:rsid w:val="73961F19"/>
    <w:rsid w:val="7BE802E2"/>
    <w:rsid w:val="7D5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TotalTime>374</TotalTime>
  <ScaleCrop>false</ScaleCrop>
  <LinksUpToDate>false</LinksUpToDate>
  <CharactersWithSpaces>523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Administrator</cp:lastModifiedBy>
  <cp:lastPrinted>2021-05-31T10:34:00Z</cp:lastPrinted>
  <dcterms:modified xsi:type="dcterms:W3CDTF">2021-06-18T00:40:07Z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