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方正小标宋简体" w:cs="方正小标宋简体"/>
          <w:sz w:val="44"/>
          <w:szCs w:val="44"/>
        </w:rPr>
      </w:pPr>
      <w:bookmarkStart w:id="0" w:name="_GoBack"/>
      <w:bookmarkEnd w:id="0"/>
      <w:r>
        <w:rPr>
          <w:rFonts w:hint="eastAsia" w:ascii="仿宋_GB2312" w:hAnsi="仿宋_GB2312" w:eastAsia="方正小标宋简体" w:cs="方正小标宋简体"/>
          <w:sz w:val="44"/>
          <w:szCs w:val="44"/>
        </w:rPr>
        <w:t>福州市长乐区自主知识产权资助和奖励</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方正小标宋简体" w:cs="方正小标宋简体"/>
          <w:sz w:val="44"/>
          <w:szCs w:val="44"/>
        </w:rPr>
      </w:pPr>
      <w:r>
        <w:rPr>
          <w:rFonts w:hint="eastAsia" w:ascii="仿宋_GB2312" w:hAnsi="仿宋_GB2312" w:eastAsia="方正小标宋简体" w:cs="方正小标宋简体"/>
          <w:sz w:val="44"/>
          <w:szCs w:val="44"/>
        </w:rPr>
        <w:t>若干意见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为深入贯彻实施创新驱动发展战略，加强知识产权保护，大力扶持和培育自主知识产权，充分发挥知识产权</w:t>
      </w:r>
      <w:r>
        <w:rPr>
          <w:rFonts w:hint="eastAsia" w:ascii="仿宋_GB2312" w:hAnsi="仿宋_GB2312" w:eastAsia="仿宋_GB2312" w:cs="仿宋_GB2312"/>
          <w:sz w:val="32"/>
          <w:szCs w:val="32"/>
          <w:lang w:eastAsia="zh-CN"/>
        </w:rPr>
        <w:t>资助奖励</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区经济发展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技术创新</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的作用，根据</w:t>
      </w:r>
      <w:r>
        <w:rPr>
          <w:rFonts w:hint="eastAsia" w:ascii="仿宋_GB2312" w:hAnsi="仿宋_GB2312" w:eastAsia="仿宋_GB2312" w:cs="仿宋_GB2312"/>
          <w:sz w:val="32"/>
          <w:szCs w:val="32"/>
          <w:lang w:eastAsia="zh-CN"/>
        </w:rPr>
        <w:t>《福州市</w:t>
      </w:r>
      <w:r>
        <w:rPr>
          <w:rFonts w:hint="eastAsia" w:ascii="仿宋_GB2312" w:hAnsi="仿宋_GB2312" w:eastAsia="仿宋_GB2312" w:cs="仿宋_GB2312"/>
          <w:sz w:val="32"/>
          <w:szCs w:val="32"/>
        </w:rPr>
        <w:t>人民政府关于印发加快推进商标发展战略若干意见的通知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（榕政综〔20</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州市人民政府关于印发福州市自主知识产权资助和奖励办法的通知》（榕政综〔2018〕210号），结合我区实际，在上级奖励资助基础上，修订《福州市长乐区自主知识产权资助和奖励若干意见》（以下简称《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意见》产生的相关奖励、资助、工作经费等（以下简称经费），主要用于扶持知识产权创造、运用、保护与服务等工作，经费从区财政预算安排的科技专项经费中列支，并根据辖区经济发展情况逐年适度增加。经费的管理和使用遵守国家有关法律、法规，遵循诚实申请、公正受理、科学管理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经费的投入，由区市场监管局报区政府批准并负责实施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区市场监管局具体负责经费的管理和使用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区发改局（科技局）、财政局负责对经费的管理和使用进行监督和检查。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一、知识产权创造的资助和奖励</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专利授权奖励。</w:t>
      </w:r>
      <w:r>
        <w:rPr>
          <w:rFonts w:hint="eastAsia" w:ascii="仿宋_GB2312" w:hAnsi="仿宋_GB2312" w:eastAsia="仿宋_GB2312" w:cs="仿宋_GB2312"/>
          <w:sz w:val="32"/>
          <w:szCs w:val="32"/>
        </w:rPr>
        <w:t>对新获得</w:t>
      </w:r>
      <w:r>
        <w:rPr>
          <w:rFonts w:hint="eastAsia" w:ascii="Times New Roman" w:hAnsi="Times New Roman" w:eastAsia="仿宋_GB2312"/>
          <w:color w:val="0C0C0C"/>
          <w:sz w:val="32"/>
          <w:szCs w:val="32"/>
          <w:shd w:val="clear" w:color="auto" w:fill="FFFFFF"/>
          <w:lang w:eastAsia="zh-CN"/>
        </w:rPr>
        <w:t>国内</w:t>
      </w:r>
      <w:r>
        <w:rPr>
          <w:rFonts w:hint="eastAsia" w:ascii="仿宋_GB2312" w:hAnsi="仿宋_GB2312" w:eastAsia="仿宋_GB2312" w:cs="仿宋_GB2312"/>
          <w:sz w:val="32"/>
          <w:szCs w:val="32"/>
        </w:rPr>
        <w:t>发明专利授权并实现专利成果转化的专利权人予以奖励，专利权人为企业（含药品、医疗器械生产企业）的每件</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2万元，专利权人为事业单位或个人的每件</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1.5万元。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.专利国际授权奖励。</w:t>
      </w:r>
      <w:r>
        <w:rPr>
          <w:rFonts w:hint="eastAsia" w:ascii="仿宋_GB2312" w:hAnsi="仿宋_GB2312" w:eastAsia="仿宋_GB2312" w:cs="仿宋_GB2312"/>
          <w:sz w:val="32"/>
          <w:szCs w:val="32"/>
        </w:rPr>
        <w:t>通过《专利合作条约》（PCT）途径向外国（地区）申请并获得授权的发明专利，每件给予3万元的一次性奖励；对两个以上（含两个）国家或地区获得授权的同一专利，补助最多不超过两次（含两次）。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专利受让补助。</w:t>
      </w:r>
      <w:r>
        <w:rPr>
          <w:rFonts w:hint="eastAsia" w:ascii="仿宋_GB2312" w:hAnsi="仿宋_GB2312" w:eastAsia="仿宋_GB2312" w:cs="仿宋_GB2312"/>
          <w:sz w:val="32"/>
          <w:szCs w:val="32"/>
        </w:rPr>
        <w:t>自《意见》实施之日起，企业转让省外有效发明专利实现专利成果转化并维护两年以上的，每件给予1万元奖励，同一企业每年度最高奖励10万元。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二、知识产权运用的资助和奖励</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专利奖奖励。</w:t>
      </w:r>
      <w:r>
        <w:rPr>
          <w:rFonts w:hint="eastAsia" w:ascii="仿宋_GB2312" w:hAnsi="仿宋_GB2312" w:eastAsia="仿宋_GB2312" w:cs="仿宋_GB2312"/>
          <w:sz w:val="32"/>
          <w:szCs w:val="32"/>
        </w:rPr>
        <w:t>对获得中国专利奖、中国外观设计奖、福州市专利奖的专利权人分别按市级奖励金额50%予以配套奖励；对获得省专利奖特等奖、一等奖、二等奖和三等奖的专利权人分别给予一次性奖励10万元、8万元、5万元和2万元。同一项专利分别获得国家、省、市专利奖的，执行最高额度奖励或补足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三、知识产权保护的资助和奖励</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5</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导航资助。</w:t>
      </w:r>
      <w:r>
        <w:rPr>
          <w:rFonts w:hint="eastAsia" w:ascii="仿宋_GB2312" w:hAnsi="仿宋_GB2312" w:eastAsia="仿宋_GB2312" w:cs="仿宋_GB2312"/>
          <w:sz w:val="32"/>
          <w:szCs w:val="32"/>
        </w:rPr>
        <w:t>对新列入国家、省专利运营或专利导航试点的企业，按市级资助金额的50%给予配套资助。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6</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专利维权援助。</w:t>
      </w:r>
      <w:r>
        <w:rPr>
          <w:rFonts w:hint="eastAsia" w:ascii="仿宋_GB2312" w:hAnsi="仿宋_GB2312" w:eastAsia="仿宋_GB2312" w:cs="仿宋_GB2312"/>
          <w:sz w:val="32"/>
          <w:szCs w:val="32"/>
        </w:rPr>
        <w:t>对专利权人为企业的，在国（境）内外开展的专利侵权案件中胜诉的，按市级资助金额的50%给予配套资助。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四、知识产权服务的资助和奖励</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7</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优势、示范企业奖励。</w:t>
      </w:r>
      <w:r>
        <w:rPr>
          <w:rFonts w:hint="eastAsia" w:ascii="仿宋_GB2312" w:hAnsi="仿宋_GB2312" w:eastAsia="仿宋_GB2312" w:cs="仿宋_GB2312"/>
          <w:sz w:val="32"/>
          <w:szCs w:val="32"/>
        </w:rPr>
        <w:t>对新认定的国家知识产权示范、优势企业、省知识产权优势企业、市知识产权示范企业分别给予25万元、20万元、15万元、10万元奖励；同一家企业符合本条款多项奖励条件的，执行最高额度奖励或补足差额。</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8</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知识产权贯标资助。</w:t>
      </w:r>
      <w:r>
        <w:rPr>
          <w:rFonts w:hint="eastAsia" w:ascii="仿宋_GB2312" w:hAnsi="仿宋_GB2312" w:eastAsia="仿宋_GB2312" w:cs="仿宋_GB2312"/>
          <w:sz w:val="32"/>
          <w:szCs w:val="32"/>
        </w:rPr>
        <w:t>对新列入福州市贯标企业培育名单并通过《企业知识产权管理规范》国家标准认证的企业单位，给予一次性资助10万元，同一企业只资助一次。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9</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知识产权服务奖励。</w:t>
      </w:r>
      <w:r>
        <w:rPr>
          <w:rFonts w:hint="eastAsia" w:ascii="仿宋_GB2312" w:hAnsi="仿宋_GB2312" w:eastAsia="仿宋_GB2312" w:cs="仿宋_GB2312"/>
          <w:sz w:val="32"/>
          <w:szCs w:val="32"/>
        </w:rPr>
        <w:t>对上一年度代理辖区内的企事业单位发明专利授权量50件以上的专利代理机构，按市级资助金额的50%予以配套。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五、商标发展奖励和补助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10</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获驰名商标奖励。</w:t>
      </w:r>
      <w:r>
        <w:rPr>
          <w:rFonts w:hint="eastAsia" w:ascii="仿宋_GB2312" w:hAnsi="仿宋_GB2312" w:eastAsia="仿宋_GB2312" w:cs="仿宋_GB2312"/>
          <w:sz w:val="32"/>
          <w:szCs w:val="32"/>
        </w:rPr>
        <w:t>对获得中国“驰名商标”认定的商标权利人，给予一次性奖励100万元。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11</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地理商标注册奖励。</w:t>
      </w:r>
      <w:r>
        <w:rPr>
          <w:rFonts w:hint="eastAsia" w:ascii="仿宋_GB2312" w:hAnsi="仿宋_GB2312" w:eastAsia="仿宋_GB2312" w:cs="仿宋_GB2312"/>
          <w:sz w:val="32"/>
          <w:szCs w:val="32"/>
        </w:rPr>
        <w:t>对成功注册一件地理标志商标的商标注册人给予一次性奖励10万元。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上述资助和奖励均由我区承担或配套，具体申报时间、方式、要求以区市场监管局发布的通知为准，申报单位及相关个人应在通知规定时间内办理相关手续，逾期视为放弃。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本《意见》资助和奖励对象为申请地址在长乐辖区的企事业单位及个人，其经营场所及税收征管关系应在长乐区行政区域范围内。申请资助的专利应不存在专利权属纠纷。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申报单位或个人应提供真实的材料和凭证，如有弄虚作假者，一经发现，对已发放的资金全额追回，3年内不受理其各类项目申报，情节严重的依法追究其法律责任。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本《意见》自2021年1月1日起施行，</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文件中有关知识产权奖励办法同</w:t>
      </w:r>
      <w:r>
        <w:rPr>
          <w:rFonts w:hint="eastAsia" w:ascii="仿宋_GB2312" w:hAnsi="仿宋_GB2312" w:eastAsia="仿宋_GB2312" w:cs="仿宋_GB2312"/>
          <w:sz w:val="32"/>
          <w:szCs w:val="32"/>
          <w:lang w:eastAsia="zh-CN"/>
        </w:rPr>
        <w:t>本《意见》不一致的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本《意见》</w:t>
      </w:r>
      <w:r>
        <w:rPr>
          <w:rFonts w:hint="eastAsia" w:ascii="仿宋_GB2312" w:hAnsi="仿宋_GB2312" w:eastAsia="仿宋_GB2312" w:cs="仿宋_GB2312"/>
          <w:sz w:val="32"/>
          <w:szCs w:val="32"/>
          <w:lang w:eastAsia="zh-CN"/>
        </w:rPr>
        <w:t>为准，本《意见》</w:t>
      </w:r>
      <w:r>
        <w:rPr>
          <w:rFonts w:hint="eastAsia" w:ascii="仿宋_GB2312" w:hAnsi="仿宋_GB2312" w:eastAsia="仿宋_GB2312" w:cs="仿宋_GB2312"/>
          <w:sz w:val="32"/>
          <w:szCs w:val="32"/>
        </w:rPr>
        <w:t>由区市场监管局负责解释。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206B3"/>
    <w:rsid w:val="00000328"/>
    <w:rsid w:val="0000727A"/>
    <w:rsid w:val="00051377"/>
    <w:rsid w:val="00186862"/>
    <w:rsid w:val="0019426A"/>
    <w:rsid w:val="0033256A"/>
    <w:rsid w:val="007347E3"/>
    <w:rsid w:val="00774219"/>
    <w:rsid w:val="00823691"/>
    <w:rsid w:val="00841CEE"/>
    <w:rsid w:val="008841B4"/>
    <w:rsid w:val="00945650"/>
    <w:rsid w:val="00981B47"/>
    <w:rsid w:val="009A5049"/>
    <w:rsid w:val="00A6482E"/>
    <w:rsid w:val="00B36BC4"/>
    <w:rsid w:val="00B819A7"/>
    <w:rsid w:val="00BE14E6"/>
    <w:rsid w:val="00C77C1A"/>
    <w:rsid w:val="00CC074A"/>
    <w:rsid w:val="00D00257"/>
    <w:rsid w:val="00D859AB"/>
    <w:rsid w:val="00DA601A"/>
    <w:rsid w:val="00F25AF1"/>
    <w:rsid w:val="01455D35"/>
    <w:rsid w:val="01DD6AAB"/>
    <w:rsid w:val="08ED267F"/>
    <w:rsid w:val="147F7732"/>
    <w:rsid w:val="159C24A9"/>
    <w:rsid w:val="161E2324"/>
    <w:rsid w:val="19816B87"/>
    <w:rsid w:val="1C1B31C6"/>
    <w:rsid w:val="1EE04201"/>
    <w:rsid w:val="22D466B1"/>
    <w:rsid w:val="24384647"/>
    <w:rsid w:val="27B424C2"/>
    <w:rsid w:val="2CB77183"/>
    <w:rsid w:val="2E620DD6"/>
    <w:rsid w:val="2FFD6244"/>
    <w:rsid w:val="3164139E"/>
    <w:rsid w:val="349F2609"/>
    <w:rsid w:val="372B5819"/>
    <w:rsid w:val="3791070C"/>
    <w:rsid w:val="3832176F"/>
    <w:rsid w:val="3A8810E6"/>
    <w:rsid w:val="3ACB3747"/>
    <w:rsid w:val="3B0A660A"/>
    <w:rsid w:val="3BCF397F"/>
    <w:rsid w:val="3D01087B"/>
    <w:rsid w:val="3E3B412C"/>
    <w:rsid w:val="429E7275"/>
    <w:rsid w:val="43E8010E"/>
    <w:rsid w:val="473A7C91"/>
    <w:rsid w:val="4A2550BF"/>
    <w:rsid w:val="4B5B1A1E"/>
    <w:rsid w:val="4C7214A4"/>
    <w:rsid w:val="4E213ABA"/>
    <w:rsid w:val="4EFB0CC6"/>
    <w:rsid w:val="4EFE07C5"/>
    <w:rsid w:val="4F1553DE"/>
    <w:rsid w:val="507F4A2F"/>
    <w:rsid w:val="50C8612B"/>
    <w:rsid w:val="50D441CD"/>
    <w:rsid w:val="51665C09"/>
    <w:rsid w:val="5214040A"/>
    <w:rsid w:val="55153BD4"/>
    <w:rsid w:val="55250EF6"/>
    <w:rsid w:val="557D0F70"/>
    <w:rsid w:val="55874881"/>
    <w:rsid w:val="55D206B3"/>
    <w:rsid w:val="571F6211"/>
    <w:rsid w:val="5B1328C9"/>
    <w:rsid w:val="5BEA6671"/>
    <w:rsid w:val="5CB252F8"/>
    <w:rsid w:val="5EEA46FD"/>
    <w:rsid w:val="60053CBD"/>
    <w:rsid w:val="601A3862"/>
    <w:rsid w:val="61473616"/>
    <w:rsid w:val="61D735CE"/>
    <w:rsid w:val="646D1A16"/>
    <w:rsid w:val="651A6D4D"/>
    <w:rsid w:val="653E4850"/>
    <w:rsid w:val="66FC4DFA"/>
    <w:rsid w:val="66FD7B70"/>
    <w:rsid w:val="67542F65"/>
    <w:rsid w:val="69D92A0C"/>
    <w:rsid w:val="6A8F42DA"/>
    <w:rsid w:val="6D535020"/>
    <w:rsid w:val="6E4416AD"/>
    <w:rsid w:val="6F514441"/>
    <w:rsid w:val="6FA23870"/>
    <w:rsid w:val="734E1C75"/>
    <w:rsid w:val="74EA0CF0"/>
    <w:rsid w:val="788A7ED0"/>
    <w:rsid w:val="792C46EC"/>
    <w:rsid w:val="798D186C"/>
    <w:rsid w:val="79FE56BB"/>
    <w:rsid w:val="7CA5673E"/>
    <w:rsid w:val="7FD91E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ascii="Calibri" w:hAnsi="Calibri" w:cs="Times New Roman"/>
      <w:sz w:val="18"/>
      <w:szCs w:val="18"/>
    </w:rPr>
  </w:style>
  <w:style w:type="character" w:customStyle="1" w:styleId="9">
    <w:name w:val="Header Char"/>
    <w:basedOn w:val="6"/>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321</Words>
  <Characters>1830</Characters>
  <Lines>0</Lines>
  <Paragraphs>0</Paragraphs>
  <TotalTime>2717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2020-11-13T03:37:00Z</dcterms:created>
  <dc:creator>刘玉兴</dc:creator>
  <cp:lastModifiedBy>Bibabo</cp:lastModifiedBy>
  <cp:lastPrinted>2021-04-20T00:58:00Z</cp:lastPrinted>
  <dcterms:modified xsi:type="dcterms:W3CDTF">2021-05-14T09:29:35Z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327A823D1A6F4E298221B5531BAABF7B</vt:lpwstr>
  </property>
</Properties>
</file>