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6" w:line="550" w:lineRule="exact"/>
        <w:jc w:val="center"/>
        <w:textAlignment w:val="auto"/>
        <w:rPr>
          <w:rFonts w:hint="eastAsia" w:ascii="仿宋_GB2312" w:hAnsi="仿宋_GB2312" w:eastAsia="方正小标宋简体" w:cs="黑体"/>
          <w:sz w:val="44"/>
          <w:szCs w:val="44"/>
          <w:lang w:eastAsia="zh-CN"/>
        </w:rPr>
      </w:pPr>
      <w:r>
        <w:rPr>
          <w:rFonts w:hint="eastAsia" w:ascii="仿宋_GB2312" w:hAnsi="仿宋_GB2312" w:eastAsia="方正小标宋简体" w:cs="黑体"/>
          <w:sz w:val="44"/>
          <w:szCs w:val="44"/>
          <w:lang w:eastAsia="zh-CN"/>
        </w:rPr>
        <w:t>关于加快建设质量强区推进制造业、新兴产业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6" w:line="550" w:lineRule="exact"/>
        <w:jc w:val="center"/>
        <w:textAlignment w:val="auto"/>
        <w:rPr>
          <w:rFonts w:ascii="仿宋_GB2312" w:hAnsi="仿宋_GB2312" w:eastAsia="方正小标宋简体" w:cs="黑体"/>
          <w:sz w:val="44"/>
          <w:szCs w:val="44"/>
          <w:lang w:eastAsia="zh-CN"/>
        </w:rPr>
      </w:pPr>
      <w:r>
        <w:rPr>
          <w:rFonts w:hint="eastAsia" w:ascii="仿宋_GB2312" w:hAnsi="仿宋_GB2312" w:eastAsia="方正小标宋简体" w:cs="黑体"/>
          <w:sz w:val="44"/>
          <w:szCs w:val="44"/>
          <w:lang w:eastAsia="zh-CN"/>
        </w:rPr>
        <w:t>发展若干意见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6" w:line="550" w:lineRule="exact"/>
        <w:ind w:right="842" w:firstLine="880" w:firstLineChars="200"/>
        <w:textAlignment w:val="auto"/>
        <w:rPr>
          <w:rFonts w:ascii="仿宋_GB2312" w:hAnsi="仿宋_GB23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为全面贯彻习近平新时代中国特色社会主义思想和《中共中央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国务院关于开展质量提升行动的指导意见》（中发〔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2017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〕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24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号），引导、激励我区企业或组织坚持质量第一、效益优先，不断追求卓越绩效，加快推进供给侧结构性改革，有力推动我区经济社会高质量发展，根据《国务院关于印发质量发展纲要（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2011-2020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年）的通知》（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eastAsia="zh-CN"/>
        </w:rPr>
        <w:t>国发〔</w:t>
      </w:r>
      <w:r>
        <w:rPr>
          <w:rFonts w:ascii="仿宋_GB2312" w:hAnsi="仿宋_GB2312" w:eastAsia="仿宋_GB2312" w:cs="Times New Roman"/>
          <w:color w:val="auto"/>
          <w:sz w:val="32"/>
          <w:szCs w:val="32"/>
          <w:lang w:eastAsia="zh-CN"/>
        </w:rPr>
        <w:t>2012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eastAsia="zh-CN"/>
        </w:rPr>
        <w:t>〕</w:t>
      </w:r>
      <w:r>
        <w:rPr>
          <w:rFonts w:ascii="仿宋_GB2312" w:hAnsi="仿宋_GB2312" w:eastAsia="仿宋_GB2312" w:cs="Times New Roman"/>
          <w:color w:val="auto"/>
          <w:sz w:val="32"/>
          <w:szCs w:val="32"/>
          <w:lang w:eastAsia="zh-CN"/>
        </w:rPr>
        <w:t>9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eastAsia="zh-CN"/>
        </w:rPr>
        <w:t>号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）、《中共福建省委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福建省人民政府印发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&lt;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关于开展质量提升行动加快建设质量强省的实施意见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&gt;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的通知》（闽委发〔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〕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号）、《中共福州市委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福州市人民政府印发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&lt;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关于开展质量提升行动加快建设质量强市的实施方案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&gt;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的通知》（榕委发〔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2019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〕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号）、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eastAsia="zh-CN"/>
        </w:rPr>
        <w:t>《福州市人民政府关于进一步实施标准化发展战略的意见》</w:t>
      </w:r>
      <w:r>
        <w:rPr>
          <w:rFonts w:ascii="仿宋_GB2312" w:hAnsi="仿宋_GB2312" w:eastAsia="仿宋_GB2312" w:cs="Times New Roman"/>
          <w:color w:val="auto"/>
          <w:sz w:val="32"/>
          <w:szCs w:val="32"/>
          <w:lang w:eastAsia="zh-CN"/>
        </w:rPr>
        <w:t>(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eastAsia="zh-CN"/>
        </w:rPr>
        <w:t>榕政综〔</w:t>
      </w:r>
      <w:r>
        <w:rPr>
          <w:rFonts w:ascii="仿宋_GB2312" w:hAnsi="仿宋_GB2312" w:eastAsia="仿宋_GB2312" w:cs="Times New Roman"/>
          <w:color w:val="auto"/>
          <w:sz w:val="32"/>
          <w:szCs w:val="32"/>
          <w:lang w:eastAsia="zh-CN"/>
        </w:rPr>
        <w:t>2016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eastAsia="zh-CN"/>
        </w:rPr>
        <w:t>〕</w:t>
      </w:r>
      <w:r>
        <w:rPr>
          <w:rFonts w:ascii="仿宋_GB2312" w:hAnsi="仿宋_GB2312" w:eastAsia="仿宋_GB2312" w:cs="Times New Roman"/>
          <w:color w:val="auto"/>
          <w:sz w:val="32"/>
          <w:szCs w:val="32"/>
          <w:lang w:eastAsia="zh-CN"/>
        </w:rPr>
        <w:t>128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eastAsia="zh-CN"/>
        </w:rPr>
        <w:t>号</w:t>
      </w:r>
      <w:r>
        <w:rPr>
          <w:rFonts w:ascii="仿宋_GB2312" w:hAnsi="仿宋_GB2312" w:eastAsia="仿宋_GB2312" w:cs="Times New Roman"/>
          <w:color w:val="auto"/>
          <w:sz w:val="32"/>
          <w:szCs w:val="32"/>
          <w:lang w:eastAsia="zh-CN"/>
        </w:rPr>
        <w:t>)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eastAsia="zh-CN"/>
        </w:rPr>
        <w:t>、《福州市人民政府关于印发</w:t>
      </w:r>
      <w:r>
        <w:rPr>
          <w:rFonts w:ascii="仿宋_GB2312" w:hAnsi="仿宋_GB2312" w:eastAsia="仿宋_GB2312" w:cs="Times New Roman"/>
          <w:color w:val="auto"/>
          <w:sz w:val="32"/>
          <w:szCs w:val="32"/>
          <w:lang w:eastAsia="zh-CN"/>
        </w:rPr>
        <w:t>&lt;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eastAsia="zh-CN"/>
        </w:rPr>
        <w:t>福州市政府质量奖管理办法</w:t>
      </w:r>
      <w:r>
        <w:rPr>
          <w:rFonts w:ascii="仿宋_GB2312" w:hAnsi="仿宋_GB2312" w:eastAsia="仿宋_GB2312" w:cs="Times New Roman"/>
          <w:color w:val="auto"/>
          <w:sz w:val="32"/>
          <w:szCs w:val="32"/>
          <w:lang w:eastAsia="zh-CN"/>
        </w:rPr>
        <w:t>&gt;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eastAsia="zh-CN"/>
        </w:rPr>
        <w:t>的通知》（榕政综〔</w:t>
      </w:r>
      <w:r>
        <w:rPr>
          <w:rFonts w:ascii="仿宋_GB2312" w:hAnsi="仿宋_GB2312" w:eastAsia="仿宋_GB2312" w:cs="Times New Roman"/>
          <w:color w:val="auto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eastAsia="zh-CN"/>
        </w:rPr>
        <w:t>〕</w:t>
      </w:r>
      <w:r>
        <w:rPr>
          <w:rFonts w:ascii="仿宋_GB2312" w:hAnsi="仿宋_GB2312" w:eastAsia="仿宋_GB2312" w:cs="Times New Roman"/>
          <w:color w:val="auto"/>
          <w:sz w:val="32"/>
          <w:szCs w:val="32"/>
          <w:lang w:eastAsia="zh-CN"/>
        </w:rPr>
        <w:t>85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eastAsia="zh-CN"/>
        </w:rPr>
        <w:t>号）、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《中共福州市长乐区委办公室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福州市长乐区人民政府办公室印发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&lt;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关于开展质量提升行动加快建设质量强区的实施方案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&gt;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的通知》（长委办〔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2019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〕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41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号）等文件精神，结合我区实际，特制定本意见。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ascii="仿宋_GB2312" w:hAnsi="仿宋_GB2312" w:eastAsia="黑体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黑体" w:cs="Times New Roman"/>
          <w:sz w:val="32"/>
          <w:szCs w:val="32"/>
          <w:lang w:eastAsia="zh-CN"/>
        </w:rPr>
        <w:t>一、扎实推进“三大战略”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3" w:firstLineChars="200"/>
        <w:jc w:val="both"/>
        <w:textAlignment w:val="auto"/>
        <w:rPr>
          <w:rFonts w:ascii="仿宋_GB2312" w:hAnsi="仿宋_GB2312" w:eastAsia="楷体_GB2312" w:cs="Times New Roman"/>
          <w:b/>
          <w:sz w:val="32"/>
          <w:szCs w:val="32"/>
          <w:lang w:eastAsia="zh-CN"/>
        </w:rPr>
      </w:pPr>
      <w:r>
        <w:rPr>
          <w:rFonts w:hint="eastAsia" w:ascii="仿宋_GB2312" w:hAnsi="仿宋_GB2312" w:eastAsia="楷体_GB2312" w:cs="Times New Roman"/>
          <w:b/>
          <w:sz w:val="32"/>
          <w:szCs w:val="32"/>
          <w:lang w:eastAsia="zh-CN"/>
        </w:rPr>
        <w:t>（一）深入推进“质量提升”战略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大力开展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质量兴园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质量兴企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等活动。引导企业夯实质量管理、标准化、计量、认证、检验检测等技术基础工作，建立和完善一批产业集群公共技术服务平台，在产业集群中推行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联盟标准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团体标准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，不断提高产品质量；大力发挥企业在质量强区建设中的主体作用，建立健全企业质量管理体系和质量安全控制关键岗位责任制，建立健全企业台账登记、原料进厂、过程控制、产品出厂检验等制度，严格按标准组织生产，严格关键环节质量控制和检验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3" w:firstLineChars="200"/>
        <w:jc w:val="both"/>
        <w:textAlignment w:val="auto"/>
        <w:rPr>
          <w:rFonts w:ascii="仿宋_GB2312" w:hAnsi="仿宋_GB2312" w:eastAsia="楷体_GB2312" w:cs="Times New Roman"/>
          <w:b/>
          <w:sz w:val="32"/>
          <w:szCs w:val="32"/>
          <w:lang w:eastAsia="zh-CN"/>
        </w:rPr>
      </w:pPr>
      <w:r>
        <w:rPr>
          <w:rFonts w:hint="eastAsia" w:ascii="仿宋_GB2312" w:hAnsi="仿宋_GB2312" w:eastAsia="楷体_GB2312" w:cs="Times New Roman"/>
          <w:b/>
          <w:sz w:val="32"/>
          <w:szCs w:val="32"/>
          <w:lang w:eastAsia="zh-CN"/>
        </w:rPr>
        <w:t>（二）深入推进“质量品牌”战略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深入实施以争创中国质量奖、福建省政府质量奖、福州市政府质量奖为核心的品牌战略，引导企业向更高层次发展过程中提升质量品牌核心竞争力，打造更多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独角兽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单项冠军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专精特新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企业（产品）。围绕纺织化纤、大数据等重点行业和新兴产业，梳理、培育、创建一批质量标杆和品牌培育示范企业。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3" w:firstLineChars="200"/>
        <w:jc w:val="both"/>
        <w:textAlignment w:val="auto"/>
        <w:rPr>
          <w:rFonts w:ascii="仿宋_GB2312" w:hAnsi="仿宋_GB2312" w:eastAsia="楷体_GB2312" w:cs="Times New Roman"/>
          <w:b/>
          <w:sz w:val="32"/>
          <w:szCs w:val="32"/>
          <w:lang w:eastAsia="zh-CN"/>
        </w:rPr>
      </w:pPr>
      <w:r>
        <w:rPr>
          <w:rFonts w:hint="eastAsia" w:ascii="仿宋_GB2312" w:hAnsi="仿宋_GB2312" w:eastAsia="楷体_GB2312" w:cs="Times New Roman"/>
          <w:b/>
          <w:sz w:val="32"/>
          <w:szCs w:val="32"/>
          <w:lang w:eastAsia="zh-CN"/>
        </w:rPr>
        <w:t>（三）深入推进“技术标准”战略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健全具有长乐特色和竞争力的产品质量标准体系，在重点企业推进技术标准战略，着力推动自主知识产权、专利转化为技术标准，制定一批拥有核心技术和科技创新成果的标准。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ascii="仿宋_GB2312" w:hAnsi="仿宋_GB2312" w:eastAsia="黑体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黑体" w:cs="Times New Roman"/>
          <w:sz w:val="32"/>
          <w:szCs w:val="32"/>
          <w:lang w:eastAsia="zh-CN"/>
        </w:rPr>
        <w:t>二、积极构建“三大体系”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3" w:firstLineChars="200"/>
        <w:jc w:val="both"/>
        <w:textAlignment w:val="auto"/>
        <w:rPr>
          <w:rFonts w:ascii="仿宋_GB2312" w:hAnsi="仿宋_GB2312" w:eastAsia="楷体_GB2312" w:cs="Times New Roman"/>
          <w:b/>
          <w:sz w:val="32"/>
          <w:szCs w:val="32"/>
          <w:lang w:eastAsia="zh-CN"/>
        </w:rPr>
      </w:pPr>
      <w:r>
        <w:rPr>
          <w:rFonts w:hint="eastAsia" w:ascii="仿宋_GB2312" w:hAnsi="仿宋_GB2312" w:eastAsia="楷体_GB2312" w:cs="Times New Roman"/>
          <w:b/>
          <w:sz w:val="32"/>
          <w:szCs w:val="32"/>
          <w:lang w:eastAsia="zh-CN"/>
        </w:rPr>
        <w:t>（一）加快构建检验检测公共服务系体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大力强化我区主导产业、优势产业、产业集聚区的技术保障和技术支撑，高标准建设一批达到省级先进水平的产品质检中心、计量测试中心、检测重点实验室。引导和支持企业、高等院校、科研机构参与公共检测技术平台建设，组建技术联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3" w:firstLineChars="200"/>
        <w:jc w:val="both"/>
        <w:textAlignment w:val="auto"/>
        <w:rPr>
          <w:rFonts w:ascii="仿宋_GB2312" w:hAnsi="仿宋_GB2312" w:eastAsia="楷体_GB2312" w:cs="Times New Roman"/>
          <w:b/>
          <w:sz w:val="32"/>
          <w:szCs w:val="32"/>
          <w:lang w:eastAsia="zh-CN"/>
        </w:rPr>
      </w:pPr>
      <w:r>
        <w:rPr>
          <w:rFonts w:hint="eastAsia" w:ascii="仿宋_GB2312" w:hAnsi="仿宋_GB2312" w:eastAsia="楷体_GB2312" w:cs="Times New Roman"/>
          <w:b/>
          <w:sz w:val="32"/>
          <w:szCs w:val="32"/>
          <w:lang w:eastAsia="zh-CN"/>
        </w:rPr>
        <w:t>（二）加快构建质量安全动态监管体系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完善各级政府对质量安全负总责、企业落实主体责任、社会共同监督的质量安全工作机制。企业法定代表人作为质量第一责任人，要切实对质量安全负首要责任。加大对重要工业品（含加工食品）、特种设备的动态监管力度，继续抓好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餐桌污染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治理工作，建设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食品放心工程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。建立和实施质量安全风险评估、监测、预警、信息通报机制，落实质量安全追溯、召回、区域监管、约谈和责任追究等制度，构建预防质量安全事故、突发事件的预警应急指挥和救援体系，降低事故发生率。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3" w:firstLineChars="200"/>
        <w:jc w:val="both"/>
        <w:textAlignment w:val="auto"/>
        <w:rPr>
          <w:rFonts w:ascii="仿宋_GB2312" w:hAnsi="仿宋_GB2312" w:eastAsia="楷体_GB2312" w:cs="Times New Roman"/>
          <w:b/>
          <w:sz w:val="32"/>
          <w:szCs w:val="32"/>
          <w:lang w:eastAsia="zh-CN"/>
        </w:rPr>
      </w:pPr>
      <w:r>
        <w:rPr>
          <w:rFonts w:hint="eastAsia" w:ascii="仿宋_GB2312" w:hAnsi="仿宋_GB2312" w:eastAsia="楷体_GB2312" w:cs="Times New Roman"/>
          <w:b/>
          <w:sz w:val="32"/>
          <w:szCs w:val="32"/>
          <w:lang w:eastAsia="zh-CN"/>
        </w:rPr>
        <w:t>（三）加快构建质量诚信监督体系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以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信用福建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征信系统为载体，搭建反映产品质量、信用资源互通共享的质量信用信息平台，实现银行、税务、市场监管、海关、保险等多部门质量信用信息共享。制定企业质量信用评估标准，建立健全涉及民生产品消费的质量查询系统，实施质量信用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黑名单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制度，加大对质量失信企业的惩戒力度。加强质量诚信道德教育，培育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诚实守信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质量文化，提高全社会质量信用意识。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ascii="仿宋_GB2312" w:hAnsi="仿宋_GB2312" w:eastAsia="黑体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黑体" w:cs="Times New Roman"/>
          <w:sz w:val="32"/>
          <w:szCs w:val="32"/>
          <w:lang w:eastAsia="zh-CN"/>
        </w:rPr>
        <w:t>三、落实保障措施，确保实施效果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3" w:firstLineChars="200"/>
        <w:jc w:val="both"/>
        <w:textAlignment w:val="auto"/>
        <w:rPr>
          <w:rFonts w:ascii="仿宋_GB2312" w:hAnsi="仿宋_GB2312" w:eastAsia="楷体_GB2312" w:cs="Times New Roman"/>
          <w:b/>
          <w:sz w:val="32"/>
          <w:szCs w:val="32"/>
          <w:lang w:eastAsia="zh-CN"/>
        </w:rPr>
      </w:pPr>
      <w:r>
        <w:rPr>
          <w:rFonts w:hint="eastAsia" w:ascii="仿宋_GB2312" w:hAnsi="仿宋_GB2312" w:eastAsia="楷体_GB2312" w:cs="Times New Roman"/>
          <w:b/>
          <w:sz w:val="32"/>
          <w:szCs w:val="32"/>
          <w:lang w:eastAsia="zh-CN"/>
        </w:rPr>
        <w:t>（一）强化组织领导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由区政府建立质量强区工作联席会议制度，统一领导、协调全区质量强区工作，联席会议办公室设在区市场监管局。区直各有关单位要各司其职，密切配合，形成合力。各乡镇（街道）要结合实际，制定质量建设规划，细化工作目标，全面推动质量强区活动。要充分发挥行业协会作用，促进产品质量不断提升，要加大质量强区宣传力度，营造政府重视质量、企业追求质量、社会崇尚质量、人人关注质量的良好社会氛围，确保各项目标任务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3" w:firstLineChars="200"/>
        <w:jc w:val="both"/>
        <w:textAlignment w:val="auto"/>
        <w:rPr>
          <w:rFonts w:ascii="仿宋_GB2312" w:hAnsi="仿宋_GB2312" w:eastAsia="楷体_GB2312" w:cs="Times New Roman"/>
          <w:b/>
          <w:sz w:val="32"/>
          <w:szCs w:val="32"/>
          <w:lang w:eastAsia="zh-CN"/>
        </w:rPr>
      </w:pPr>
      <w:r>
        <w:rPr>
          <w:rFonts w:hint="eastAsia" w:ascii="仿宋_GB2312" w:hAnsi="仿宋_GB2312" w:eastAsia="楷体_GB2312" w:cs="Times New Roman"/>
          <w:b/>
          <w:sz w:val="32"/>
          <w:szCs w:val="32"/>
          <w:lang w:eastAsia="zh-CN"/>
        </w:rPr>
        <w:t>（二）强化政策扶持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建立健全区政府质量品牌激励制度，支持打造高端自主质量品牌，引导提升质量管理水平，加大对企业技术标准、质量品牌培育等方面的投入，形成稳定的经费保障机制。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3" w:firstLineChars="200"/>
        <w:jc w:val="both"/>
        <w:textAlignment w:val="auto"/>
        <w:rPr>
          <w:rFonts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ascii="仿宋_GB2312" w:hAnsi="仿宋_GB2312" w:eastAsia="仿宋_GB2312" w:cs="Times New Roman"/>
          <w:b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Times New Roman"/>
          <w:b/>
          <w:sz w:val="32"/>
          <w:szCs w:val="32"/>
          <w:lang w:eastAsia="zh-CN"/>
        </w:rPr>
        <w:t>设政府质量奖。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对获得中国质量奖、中国质量奖提名奖的企业，分别给予一次性配套奖励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200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万元、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100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万元；对获得福建省政府质量奖、福建省政府质量奖提名奖的企业，分别给予一次性配套奖励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100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万元、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50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万元；对获得福州市政府质量奖的企业，给予一次性配套奖励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50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3" w:firstLineChars="200"/>
        <w:jc w:val="both"/>
        <w:textAlignment w:val="auto"/>
        <w:rPr>
          <w:rFonts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ascii="仿宋_GB2312" w:hAnsi="仿宋_GB2312" w:eastAsia="仿宋_GB2312" w:cs="Times New Roman"/>
          <w:b/>
          <w:sz w:val="32"/>
          <w:szCs w:val="32"/>
          <w:lang w:eastAsia="zh-CN"/>
        </w:rPr>
        <w:t>2.</w:t>
      </w:r>
      <w:r>
        <w:rPr>
          <w:rFonts w:hint="eastAsia" w:ascii="仿宋_GB2312" w:hAnsi="仿宋_GB2312" w:eastAsia="仿宋_GB2312" w:cs="Times New Roman"/>
          <w:b/>
          <w:sz w:val="32"/>
          <w:szCs w:val="32"/>
          <w:lang w:eastAsia="zh-CN"/>
        </w:rPr>
        <w:t>设国家实验室认可奖。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对获得国家实验室认可的技术检测机构，给予一次性奖励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30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3" w:firstLineChars="200"/>
        <w:jc w:val="both"/>
        <w:textAlignment w:val="auto"/>
        <w:rPr>
          <w:rFonts w:ascii="仿宋_GB2312" w:hAnsi="仿宋_GB2312" w:eastAsia="仿宋_GB2312" w:cs="Times New Roman"/>
          <w:b/>
          <w:sz w:val="32"/>
          <w:szCs w:val="32"/>
        </w:rPr>
      </w:pPr>
      <w:r>
        <w:rPr>
          <w:rFonts w:ascii="仿宋_GB2312" w:hAnsi="仿宋_GB2312" w:eastAsia="仿宋_GB2312" w:cs="Times New Roman"/>
          <w:b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Times New Roman"/>
          <w:b/>
          <w:sz w:val="32"/>
          <w:szCs w:val="32"/>
        </w:rPr>
        <w:t>设标准战略奖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（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）对承担国际、国家标准化组织专业技术委员会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/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分技术委员会秘书处或工作组工作的单位，分别给予一次性奖励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50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万元、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30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万元；对承担福建省专业标准化技术委员会秘书处工作的单位，给予一次性奖励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10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（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）对主导制（修）订国际标准、国家标准、行业标准、地方标准、团体标准的项目起草单位（排名前三位的），分别给与一次性奖励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50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万元、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30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万元、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万元、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10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万元、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万元；对参与制（修）订国际标准、国家标准、行业标准、地方标准的项目起草单位（排名第四位及之后的），分别给予一次性奖励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25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万元、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15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万元、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10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万元、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（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）对承担国家级、省级、市级标准化示范（试点）项目的单位，通过标准化主管部门验收的，分别给予一次性奖励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万元、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15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万元、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（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）对承担国家级、省级、市级标准化科研项目并结题验收合格的单位，分别给予一次性奖励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50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万元、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万元、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10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（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）对荣获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中国标准创新贡献奖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项目奖一等奖、二等奖、三等奖的标准制（修）订的主导单位，分别给予一次性奖励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万元、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万元、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万元。对荣获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福建省标准贡献奖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一等奖、二等奖、三等奖的标准制（修）订主导单位，分别给予一次性奖励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万元、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万元、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（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）对荣获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标准化良好行为企业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称号的企业，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AAAA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级一次性给予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万元经费资助，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AAA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级一次性给予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万元经费资助。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（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7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）对组织申报地理标志产品保护、农产品地理标志并获得批准的单位，每项给予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万元经费资助。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4.</w:t>
      </w:r>
      <w:r>
        <w:rPr>
          <w:rFonts w:hint="eastAsia" w:ascii="仿宋_GB2312" w:hAnsi="仿宋_GB2312" w:eastAsia="仿宋_GB2312" w:cs="Times New Roman"/>
          <w:b/>
          <w:sz w:val="32"/>
          <w:szCs w:val="32"/>
          <w:lang w:eastAsia="zh-CN"/>
        </w:rPr>
        <w:t>设测量管理体系认证奖。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对获得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 xml:space="preserve"> IS010012 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测量管理体系认证的企业，给予一次性奖励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对第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项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政府质量奖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eastAsia="zh-CN"/>
        </w:rPr>
        <w:t>及第</w:t>
      </w:r>
      <w:r>
        <w:rPr>
          <w:rFonts w:ascii="仿宋_GB2312" w:hAnsi="仿宋_GB2312" w:eastAsia="仿宋_GB2312" w:cs="Times New Roman"/>
          <w:color w:val="auto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eastAsia="zh-CN"/>
        </w:rPr>
        <w:t>项“标准战略奖”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的奖励按同年度获奖“就高不重复”原则。各乡镇（街道）可结合实际，制定相应的奖励规定。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3" w:firstLineChars="200"/>
        <w:jc w:val="both"/>
        <w:textAlignment w:val="auto"/>
        <w:rPr>
          <w:rFonts w:ascii="仿宋_GB2312" w:hAnsi="仿宋_GB2312" w:eastAsia="楷体_GB2312" w:cs="Times New Roman"/>
          <w:b/>
          <w:sz w:val="32"/>
          <w:szCs w:val="32"/>
          <w:lang w:eastAsia="zh-CN"/>
        </w:rPr>
      </w:pPr>
      <w:r>
        <w:rPr>
          <w:rFonts w:hint="eastAsia" w:ascii="仿宋_GB2312" w:hAnsi="仿宋_GB2312" w:eastAsia="楷体_GB2312" w:cs="Times New Roman"/>
          <w:b/>
          <w:sz w:val="32"/>
          <w:szCs w:val="32"/>
          <w:lang w:eastAsia="zh-CN"/>
        </w:rPr>
        <w:t>（三）强化法制保障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加快建立健全适应我区经济发展的质量管理制度体系，完善行政执法和刑事司法衔接机制。加大质量执法力度，完善质量投诉和消费维权机制，畅通</w:t>
      </w:r>
      <w:r>
        <w:rPr>
          <w:rFonts w:ascii="仿宋_GB2312" w:hAnsi="仿宋_GB2312" w:eastAsia="仿宋_GB2312" w:cs="Times New Roman"/>
          <w:sz w:val="32"/>
          <w:szCs w:val="32"/>
          <w:lang w:eastAsia="zh-CN"/>
        </w:rPr>
        <w:t>12315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质量投诉举报渠道，落实举报奖励制度。加强质量执法队伍建设，改进和充实执法装备，提高执法人员的综合素质和执法水平。完善质量执法监督机制，落实行政执法责任制。将质量法律、法规、规章纳入全民普法教育规划，提高全民质量法治</w:t>
      </w:r>
      <w:bookmarkStart w:id="0" w:name="_GoBack"/>
      <w:bookmarkEnd w:id="0"/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3" w:firstLineChars="200"/>
        <w:jc w:val="both"/>
        <w:textAlignment w:val="auto"/>
        <w:rPr>
          <w:rFonts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楷体_GB2312" w:cs="Times New Roman"/>
          <w:b/>
          <w:sz w:val="32"/>
          <w:szCs w:val="32"/>
          <w:lang w:eastAsia="zh-CN"/>
        </w:rPr>
        <w:t>（四）强化考核督察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探索建立我区质量督察工作机制，对质量工作推进过程中存在的不作为、慢作为等效能问题，由区质量强区工作联席会议办公室将问题、线索移送区效能办，由区效能办启动效能问责程序。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本意见由区市场监管局负责解释。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eastAsia="zh-CN"/>
        </w:rPr>
        <w:t>本意见自</w:t>
      </w:r>
      <w:r>
        <w:rPr>
          <w:rFonts w:ascii="仿宋_GB2312" w:hAnsi="仿宋_GB2312" w:eastAsia="仿宋_GB2312" w:cs="Times New Roman"/>
          <w:color w:val="auto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eastAsia="zh-CN"/>
        </w:rPr>
        <w:t>年</w:t>
      </w:r>
      <w:r>
        <w:rPr>
          <w:rFonts w:ascii="仿宋_GB2312" w:hAnsi="仿宋_GB2312" w:eastAsia="仿宋_GB2312" w:cs="Times New Roman"/>
          <w:color w:val="auto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eastAsia="zh-CN"/>
        </w:rPr>
        <w:t>月</w:t>
      </w:r>
      <w:r>
        <w:rPr>
          <w:rFonts w:ascii="仿宋_GB2312" w:hAnsi="仿宋_GB2312" w:eastAsia="仿宋_GB2312" w:cs="Times New Roman"/>
          <w:color w:val="auto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eastAsia="zh-CN"/>
        </w:rPr>
        <w:t>日起施行，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此前与本意见不一致的，以本意见为准。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jc w:val="both"/>
        <w:textAlignment w:val="auto"/>
        <w:rPr>
          <w:rFonts w:ascii="仿宋_GB2312" w:hAnsi="仿宋_GB2312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ascii="仿宋_GB2312" w:hAnsi="仿宋_GB2312" w:eastAsia="仿宋_GB2312" w:cs="Times New Roman"/>
          <w:sz w:val="28"/>
          <w:szCs w:val="28"/>
          <w:lang w:eastAsia="zh-CN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type w:val="continuous"/>
      <w:pgSz w:w="11910" w:h="16840"/>
      <w:pgMar w:top="2098" w:right="1474" w:bottom="1984" w:left="1587" w:header="720" w:footer="720" w:gutter="0"/>
      <w:pgNumType w:fmt="numberInDash"/>
      <w:cols w:space="0" w:num="1"/>
      <w:titlePg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t>- 2 -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  <w:rFonts w:cs="宋体"/>
      </w:rPr>
    </w:pPr>
    <w:r>
      <w:rPr>
        <w:rStyle w:val="10"/>
        <w:rFonts w:cs="宋体"/>
      </w:rPr>
      <w:fldChar w:fldCharType="begin"/>
    </w:r>
    <w:r>
      <w:rPr>
        <w:rStyle w:val="10"/>
        <w:rFonts w:cs="宋体"/>
      </w:rPr>
      <w:instrText xml:space="preserve">PAGE  </w:instrText>
    </w:r>
    <w:r>
      <w:rPr>
        <w:rStyle w:val="10"/>
        <w:rFonts w:cs="宋体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FmNTAxZjk1OGQ5OWYyZTM0NzViMGMxMmEwMTlkZmQifQ=="/>
  </w:docVars>
  <w:rsids>
    <w:rsidRoot w:val="005F4CA8"/>
    <w:rsid w:val="000032FB"/>
    <w:rsid w:val="00062DAC"/>
    <w:rsid w:val="00062EC1"/>
    <w:rsid w:val="000B561D"/>
    <w:rsid w:val="0013026A"/>
    <w:rsid w:val="001B4679"/>
    <w:rsid w:val="001C0721"/>
    <w:rsid w:val="002053C4"/>
    <w:rsid w:val="0026689A"/>
    <w:rsid w:val="002E627C"/>
    <w:rsid w:val="003247BC"/>
    <w:rsid w:val="00335984"/>
    <w:rsid w:val="003C7402"/>
    <w:rsid w:val="004120B7"/>
    <w:rsid w:val="004276F6"/>
    <w:rsid w:val="00441D08"/>
    <w:rsid w:val="00460838"/>
    <w:rsid w:val="004E0DAB"/>
    <w:rsid w:val="004F07F9"/>
    <w:rsid w:val="004F1220"/>
    <w:rsid w:val="004F13F1"/>
    <w:rsid w:val="005606EC"/>
    <w:rsid w:val="005623F1"/>
    <w:rsid w:val="0056632B"/>
    <w:rsid w:val="00571E82"/>
    <w:rsid w:val="005A37AC"/>
    <w:rsid w:val="005B601C"/>
    <w:rsid w:val="005D5BCE"/>
    <w:rsid w:val="005F4CA8"/>
    <w:rsid w:val="00637531"/>
    <w:rsid w:val="00660C87"/>
    <w:rsid w:val="006974A1"/>
    <w:rsid w:val="006A4C8A"/>
    <w:rsid w:val="007818B5"/>
    <w:rsid w:val="007828EC"/>
    <w:rsid w:val="00787308"/>
    <w:rsid w:val="007958A5"/>
    <w:rsid w:val="007A5B5C"/>
    <w:rsid w:val="007B79EE"/>
    <w:rsid w:val="00835A58"/>
    <w:rsid w:val="00880A98"/>
    <w:rsid w:val="008B14D5"/>
    <w:rsid w:val="008E4E07"/>
    <w:rsid w:val="00921787"/>
    <w:rsid w:val="00952495"/>
    <w:rsid w:val="009674A0"/>
    <w:rsid w:val="00967BB1"/>
    <w:rsid w:val="00973B67"/>
    <w:rsid w:val="00991B6C"/>
    <w:rsid w:val="00A1544B"/>
    <w:rsid w:val="00A31BDF"/>
    <w:rsid w:val="00A40DC2"/>
    <w:rsid w:val="00A42B97"/>
    <w:rsid w:val="00A569DB"/>
    <w:rsid w:val="00A90AD5"/>
    <w:rsid w:val="00AA59E1"/>
    <w:rsid w:val="00B21745"/>
    <w:rsid w:val="00BA2B54"/>
    <w:rsid w:val="00BB0AFF"/>
    <w:rsid w:val="00BE5619"/>
    <w:rsid w:val="00C52BDC"/>
    <w:rsid w:val="00C565A6"/>
    <w:rsid w:val="00C6244D"/>
    <w:rsid w:val="00C92313"/>
    <w:rsid w:val="00D33F31"/>
    <w:rsid w:val="00D76DCC"/>
    <w:rsid w:val="00DC6DD6"/>
    <w:rsid w:val="00E73EC1"/>
    <w:rsid w:val="00EC743B"/>
    <w:rsid w:val="00F35510"/>
    <w:rsid w:val="00F80529"/>
    <w:rsid w:val="00F817BA"/>
    <w:rsid w:val="00F8725B"/>
    <w:rsid w:val="00FC4314"/>
    <w:rsid w:val="040D2D30"/>
    <w:rsid w:val="05CE4DD6"/>
    <w:rsid w:val="06B7388A"/>
    <w:rsid w:val="0807718D"/>
    <w:rsid w:val="0BC31B88"/>
    <w:rsid w:val="0D703AB0"/>
    <w:rsid w:val="0F6D0E70"/>
    <w:rsid w:val="14254446"/>
    <w:rsid w:val="16825E5B"/>
    <w:rsid w:val="1C297CCB"/>
    <w:rsid w:val="1C316264"/>
    <w:rsid w:val="222F7685"/>
    <w:rsid w:val="2FAC7EE6"/>
    <w:rsid w:val="313977A4"/>
    <w:rsid w:val="320B7008"/>
    <w:rsid w:val="34A229B4"/>
    <w:rsid w:val="36D2268F"/>
    <w:rsid w:val="36FA2881"/>
    <w:rsid w:val="3B175CF7"/>
    <w:rsid w:val="3EF345BC"/>
    <w:rsid w:val="3F2F34F9"/>
    <w:rsid w:val="3F7A133E"/>
    <w:rsid w:val="42361829"/>
    <w:rsid w:val="440A5208"/>
    <w:rsid w:val="453C2C02"/>
    <w:rsid w:val="47084FC9"/>
    <w:rsid w:val="4CF37FFD"/>
    <w:rsid w:val="4EA513BD"/>
    <w:rsid w:val="518E1A3D"/>
    <w:rsid w:val="534E5BFE"/>
    <w:rsid w:val="544141AB"/>
    <w:rsid w:val="555A4654"/>
    <w:rsid w:val="66C75452"/>
    <w:rsid w:val="6B5503A9"/>
    <w:rsid w:val="6BF62A4D"/>
    <w:rsid w:val="6C88656F"/>
    <w:rsid w:val="6DA76FA4"/>
    <w:rsid w:val="6F277BAC"/>
    <w:rsid w:val="708C0EBE"/>
    <w:rsid w:val="708C5A01"/>
    <w:rsid w:val="71301399"/>
    <w:rsid w:val="7404703F"/>
    <w:rsid w:val="7AF5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="1"/>
      <w:ind w:right="74"/>
      <w:jc w:val="center"/>
      <w:outlineLvl w:val="0"/>
    </w:pPr>
    <w:rPr>
      <w:sz w:val="30"/>
      <w:szCs w:val="30"/>
    </w:rPr>
  </w:style>
  <w:style w:type="paragraph" w:styleId="3">
    <w:name w:val="heading 2"/>
    <w:basedOn w:val="1"/>
    <w:next w:val="1"/>
    <w:link w:val="12"/>
    <w:qFormat/>
    <w:uiPriority w:val="99"/>
    <w:pPr>
      <w:spacing w:before="94"/>
      <w:ind w:left="372"/>
      <w:outlineLvl w:val="1"/>
    </w:pPr>
    <w:rPr>
      <w:sz w:val="28"/>
      <w:szCs w:val="28"/>
    </w:rPr>
  </w:style>
  <w:style w:type="paragraph" w:styleId="4">
    <w:name w:val="heading 3"/>
    <w:basedOn w:val="1"/>
    <w:next w:val="1"/>
    <w:link w:val="13"/>
    <w:qFormat/>
    <w:uiPriority w:val="99"/>
    <w:pPr>
      <w:ind w:left="574" w:right="756" w:hanging="572"/>
      <w:outlineLvl w:val="2"/>
    </w:pPr>
    <w:rPr>
      <w:sz w:val="27"/>
      <w:szCs w:val="27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4"/>
    <w:qFormat/>
    <w:uiPriority w:val="99"/>
    <w:rPr>
      <w:sz w:val="25"/>
      <w:szCs w:val="25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Heading 1 Char"/>
    <w:basedOn w:val="9"/>
    <w:link w:val="2"/>
    <w:qFormat/>
    <w:locked/>
    <w:uiPriority w:val="99"/>
    <w:rPr>
      <w:rFonts w:ascii="宋体" w:eastAsia="宋体" w:cs="宋体"/>
      <w:b/>
      <w:bCs/>
      <w:kern w:val="44"/>
      <w:sz w:val="44"/>
      <w:szCs w:val="44"/>
      <w:lang w:eastAsia="en-US"/>
    </w:rPr>
  </w:style>
  <w:style w:type="character" w:customStyle="1" w:styleId="12">
    <w:name w:val="Heading 2 Char"/>
    <w:basedOn w:val="9"/>
    <w:link w:val="3"/>
    <w:semiHidden/>
    <w:qFormat/>
    <w:locked/>
    <w:uiPriority w:val="99"/>
    <w:rPr>
      <w:rFonts w:ascii="Cambria" w:hAnsi="Cambria" w:eastAsia="宋体" w:cs="Times New Roman"/>
      <w:b/>
      <w:bCs/>
      <w:kern w:val="0"/>
      <w:sz w:val="32"/>
      <w:szCs w:val="32"/>
      <w:lang w:eastAsia="en-US"/>
    </w:rPr>
  </w:style>
  <w:style w:type="character" w:customStyle="1" w:styleId="13">
    <w:name w:val="Heading 3 Char"/>
    <w:basedOn w:val="9"/>
    <w:link w:val="4"/>
    <w:semiHidden/>
    <w:qFormat/>
    <w:locked/>
    <w:uiPriority w:val="99"/>
    <w:rPr>
      <w:rFonts w:ascii="宋体" w:eastAsia="宋体" w:cs="宋体"/>
      <w:b/>
      <w:bCs/>
      <w:kern w:val="0"/>
      <w:sz w:val="32"/>
      <w:szCs w:val="32"/>
      <w:lang w:eastAsia="en-US"/>
    </w:rPr>
  </w:style>
  <w:style w:type="character" w:customStyle="1" w:styleId="14">
    <w:name w:val="Body Text Char"/>
    <w:basedOn w:val="9"/>
    <w:link w:val="5"/>
    <w:semiHidden/>
    <w:qFormat/>
    <w:locked/>
    <w:uiPriority w:val="99"/>
    <w:rPr>
      <w:rFonts w:ascii="宋体" w:eastAsia="宋体" w:cs="宋体"/>
      <w:kern w:val="0"/>
      <w:sz w:val="22"/>
      <w:lang w:eastAsia="en-US"/>
    </w:rPr>
  </w:style>
  <w:style w:type="character" w:customStyle="1" w:styleId="15">
    <w:name w:val="Footer Char"/>
    <w:basedOn w:val="9"/>
    <w:link w:val="6"/>
    <w:semiHidden/>
    <w:qFormat/>
    <w:locked/>
    <w:uiPriority w:val="99"/>
    <w:rPr>
      <w:rFonts w:ascii="宋体" w:eastAsia="宋体" w:cs="宋体"/>
      <w:kern w:val="0"/>
      <w:sz w:val="18"/>
      <w:szCs w:val="18"/>
      <w:lang w:eastAsia="en-US"/>
    </w:rPr>
  </w:style>
  <w:style w:type="character" w:customStyle="1" w:styleId="16">
    <w:name w:val="Header Char"/>
    <w:basedOn w:val="9"/>
    <w:link w:val="7"/>
    <w:semiHidden/>
    <w:qFormat/>
    <w:locked/>
    <w:uiPriority w:val="99"/>
    <w:rPr>
      <w:rFonts w:ascii="宋体" w:eastAsia="宋体" w:cs="宋体"/>
      <w:kern w:val="0"/>
      <w:sz w:val="18"/>
      <w:szCs w:val="18"/>
      <w:lang w:eastAsia="en-US"/>
    </w:rPr>
  </w:style>
  <w:style w:type="paragraph" w:styleId="17">
    <w:name w:val="List Paragraph"/>
    <w:basedOn w:val="1"/>
    <w:qFormat/>
    <w:uiPriority w:val="99"/>
  </w:style>
  <w:style w:type="paragraph" w:customStyle="1" w:styleId="18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2980</Words>
  <Characters>3062</Characters>
  <Lines>0</Lines>
  <Paragraphs>0</Paragraphs>
  <TotalTime>297</TotalTime>
  <ScaleCrop>false</ScaleCrop>
  <LinksUpToDate>false</LinksUpToDate>
  <CharactersWithSpaces>3069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2021-01-07T06:38:00Z</dcterms:created>
  <dc:creator>user</dc:creator>
  <cp:lastModifiedBy>Administrator</cp:lastModifiedBy>
  <cp:lastPrinted>2021-02-22T10:21:00Z</cp:lastPrinted>
  <dcterms:modified xsi:type="dcterms:W3CDTF">2022-08-21T03:29:17Z</dcterms:modified>
  <dc:title>关于加快建设质量强区推进制造业发展若干意见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Office</vt:lpwstr>
  </property>
  <property fmtid="{D5CDD505-2E9C-101B-9397-08002B2CF9AE}" pid="3" name="KSOProductBuildVer">
    <vt:lpwstr>2052-11.1.0.12313</vt:lpwstr>
  </property>
  <property fmtid="{D5CDD505-2E9C-101B-9397-08002B2CF9AE}" pid="4" name="ICV">
    <vt:lpwstr>DD3D6C6725BB435DB3F6415C74C4926B</vt:lpwstr>
  </property>
</Properties>
</file>