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黑体" w:hAnsi="仿宋" w:eastAsia="黑体" w:cs="Times New Roman"/>
          <w:spacing w:val="-8"/>
          <w:sz w:val="32"/>
          <w:szCs w:val="32"/>
        </w:rPr>
      </w:pPr>
      <w:r>
        <w:rPr>
          <w:rFonts w:hint="eastAsia" w:ascii="黑体" w:hAnsi="仿宋" w:eastAsia="黑体" w:cs="Times New Roman"/>
          <w:spacing w:val="-8"/>
          <w:sz w:val="32"/>
          <w:szCs w:val="32"/>
        </w:rPr>
        <w:t>附件</w:t>
      </w:r>
      <w:r>
        <w:rPr>
          <w:rFonts w:ascii="黑体" w:hAnsi="仿宋" w:eastAsia="黑体" w:cs="Times New Roman"/>
          <w:spacing w:val="-8"/>
          <w:sz w:val="32"/>
          <w:szCs w:val="32"/>
        </w:rPr>
        <w:t>3</w:t>
      </w:r>
    </w:p>
    <w:p>
      <w:pPr>
        <w:pStyle w:val="3"/>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华文中宋" w:eastAsia="方正小标宋简体" w:cs="Calibri"/>
          <w:kern w:val="2"/>
          <w:sz w:val="36"/>
          <w:szCs w:val="36"/>
          <w:lang w:val="en-US" w:eastAsia="zh-CN" w:bidi="ar-SA"/>
        </w:rPr>
      </w:pPr>
      <w:r>
        <w:rPr>
          <w:rFonts w:hint="eastAsia" w:ascii="方正小标宋简体" w:hAnsi="华文中宋" w:eastAsia="方正小标宋简体" w:cs="Calibri"/>
          <w:kern w:val="2"/>
          <w:sz w:val="36"/>
          <w:szCs w:val="36"/>
          <w:lang w:val="en-US" w:eastAsia="zh-CN" w:bidi="ar-SA"/>
        </w:rPr>
        <w:t>《</w:t>
      </w:r>
      <w:r>
        <w:rPr>
          <w:rFonts w:hint="eastAsia" w:ascii="方正小标宋简体" w:hAnsi="方正小标宋简体" w:eastAsia="方正小标宋简体" w:cs="方正小标宋简体"/>
          <w:sz w:val="36"/>
          <w:szCs w:val="36"/>
          <w:lang w:val="en-US" w:eastAsia="zh-CN"/>
        </w:rPr>
        <w:t>长乐区土地储备管理实施办法（试行）</w:t>
      </w:r>
      <w:r>
        <w:rPr>
          <w:rFonts w:hint="eastAsia" w:ascii="方正小标宋简体" w:hAnsi="华文中宋" w:eastAsia="方正小标宋简体" w:cs="Calibri"/>
          <w:kern w:val="2"/>
          <w:sz w:val="36"/>
          <w:szCs w:val="36"/>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rPr>
        <w:t>制定的主要依据及</w:t>
      </w:r>
      <w:r>
        <w:rPr>
          <w:rFonts w:hint="eastAsia" w:ascii="方正小标宋简体" w:hAnsi="华文中宋" w:eastAsia="方正小标宋简体"/>
          <w:sz w:val="36"/>
          <w:szCs w:val="36"/>
          <w:lang w:val="en-US" w:eastAsia="zh-CN"/>
        </w:rPr>
        <w:t>目录</w:t>
      </w:r>
    </w:p>
    <w:p>
      <w:pPr>
        <w:pStyle w:val="3"/>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华文中宋" w:eastAsia="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华文中宋" w:eastAsia="黑体"/>
          <w:sz w:val="32"/>
          <w:szCs w:val="32"/>
        </w:rPr>
        <w:t>一、制定的主要依据</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文件制定依据主要为：</w:t>
      </w:r>
      <w:r>
        <w:rPr>
          <w:rFonts w:hint="eastAsia" w:ascii="仿宋_GB2312" w:hAnsi="仿宋_GB2312" w:eastAsia="仿宋_GB2312" w:cs="仿宋_GB2312"/>
          <w:sz w:val="32"/>
          <w:szCs w:val="32"/>
          <w:lang w:val="en-US" w:eastAsia="zh-CN"/>
        </w:rPr>
        <w:t>《中华人民共和国土地管理法》、《土地储备管理办法》（国土资规〔2017〕17号）、《土地储备资金财务管理办法》（财综〔2018〕8号）等相关法律法规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黑体" w:hAnsi="华文中宋" w:eastAsia="黑体"/>
          <w:sz w:val="32"/>
          <w:szCs w:val="32"/>
        </w:rPr>
      </w:pPr>
      <w:r>
        <w:rPr>
          <w:rFonts w:hint="eastAsia" w:ascii="黑体" w:hAnsi="华文中宋" w:eastAsia="黑体"/>
          <w:sz w:val="32"/>
          <w:szCs w:val="32"/>
        </w:rPr>
        <w:t>二、主要依据及目录</w:t>
      </w:r>
    </w:p>
    <w:p>
      <w:pPr>
        <w:keepNext w:val="0"/>
        <w:keepLines w:val="0"/>
        <w:pageBreakBefore w:val="0"/>
        <w:widowControl w:val="0"/>
        <w:kinsoku/>
        <w:wordWrap/>
        <w:overflowPunct/>
        <w:topLinePunct w:val="0"/>
        <w:autoSpaceDE/>
        <w:autoSpaceDN/>
        <w:bidi w:val="0"/>
        <w:adjustRightInd/>
        <w:snapToGrid/>
        <w:spacing w:line="530" w:lineRule="exact"/>
        <w:ind w:firstLine="645"/>
        <w:jc w:val="both"/>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cs="仿宋_GB2312"/>
          <w:b/>
          <w:bCs/>
          <w:color w:val="000000"/>
          <w:sz w:val="32"/>
          <w:szCs w:val="32"/>
          <w:shd w:val="clear" w:color="auto" w:fill="FFFFFF"/>
          <w:lang w:val="en-US" w:eastAsia="zh-CN"/>
        </w:rPr>
        <w:t>（一）《土地储备管理办法》（国土资规〔2017〕17号）</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二、储备计划</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各地应根据国民经济和社会发展规划、国土规划、土地利用总体规划、城乡规划等，编制土地储备三年滚动计划，合理确定未来三年土地储备规模，对三年内可收储的土地资源，在总量、结构、布局、时序等方面做出统筹安排，优先储备空闲、低效利用等存量建设用地。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各地应根据城市建设发展和土地市场调控的需要，结合当地社会发展规划、土地储备三年滚动计划、年度土地供应计划、地方政府债务限额等因素，合理制定年度土地储备计划。年度土地储备计划内容应包括：</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1.上年度末储备土地结转情况（含上年度末的拟收储土地及入库储备土地的地块清单）；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2.年度新增储备土地计划（含当年新增拟收储土地和新增入库储备土地规模及地块清单）；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3.年度储备土地前期开发计划（含当年前期开发地块清单）；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4.年度储备土地供应计划（含当年拟供应地块清单）；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5.年度储备土地临时管护计划；</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6.年度土地储备资金需求总量。</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拟收储土地，是指已纳入土地储备计划或经县级（含）以上人民政府批准，目前已启动收回、收购、征收等工作，但未取得完整产权的土地；入库储备土地，是指土地储备机构已取得完整产权，纳入储备土地库管理的土地。</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 w:eastAsia="仿宋_GB2312" w:cs="仿宋_GB2312"/>
          <w:b/>
          <w:bCs/>
          <w:color w:val="000000"/>
          <w:sz w:val="32"/>
          <w:szCs w:val="32"/>
          <w:shd w:val="clear" w:color="auto" w:fill="FFFFFF"/>
          <w:lang w:val="en-US" w:eastAsia="zh-CN"/>
        </w:rPr>
      </w:pPr>
      <w:r>
        <w:rPr>
          <w:rFonts w:hint="eastAsia" w:ascii="仿宋_GB2312" w:hAnsi="仿宋_GB2312" w:eastAsia="仿宋_GB2312" w:cs="仿宋_GB2312"/>
          <w:sz w:val="32"/>
          <w:szCs w:val="32"/>
          <w:lang w:val="en-US" w:eastAsia="zh-CN"/>
        </w:rPr>
        <w:t>（六）国土资源主管部门应会同财政部门于每年第三季度，组织编制完成下一年度土地储备计划，提交省级国土资源主管部门备案后，报同级人民政府批准。因土地市场调控政策变化或低效用地再开发等原因，确需调整年度土地储备计划的，每年中期可调整一次，按原审批程序备案、报批。</w:t>
      </w:r>
    </w:p>
    <w:p>
      <w:pPr>
        <w:keepNext w:val="0"/>
        <w:keepLines w:val="0"/>
        <w:pageBreakBefore w:val="0"/>
        <w:widowControl w:val="0"/>
        <w:kinsoku/>
        <w:wordWrap/>
        <w:overflowPunct/>
        <w:topLinePunct w:val="0"/>
        <w:autoSpaceDE/>
        <w:autoSpaceDN/>
        <w:bidi w:val="0"/>
        <w:adjustRightInd/>
        <w:snapToGrid/>
        <w:spacing w:line="530" w:lineRule="exact"/>
        <w:ind w:firstLine="645"/>
        <w:jc w:val="both"/>
        <w:textAlignment w:val="auto"/>
        <w:rPr>
          <w:rFonts w:hint="eastAsia" w:ascii="仿宋_GB2312" w:hAnsi="仿宋" w:eastAsia="仿宋_GB2312" w:cs="仿宋_GB2312"/>
          <w:b/>
          <w:bCs/>
          <w:color w:val="000000"/>
          <w:sz w:val="32"/>
          <w:szCs w:val="32"/>
          <w:shd w:val="clear" w:color="auto" w:fill="FFFFFF"/>
          <w:lang w:val="en-US" w:eastAsia="zh-CN"/>
        </w:rPr>
      </w:pPr>
      <w:r>
        <w:rPr>
          <w:rFonts w:hint="eastAsia" w:ascii="仿宋_GB2312" w:hAnsi="仿宋" w:eastAsia="仿宋_GB2312" w:cs="仿宋_GB2312"/>
          <w:b/>
          <w:bCs/>
          <w:color w:val="000000"/>
          <w:sz w:val="32"/>
          <w:szCs w:val="32"/>
          <w:shd w:val="clear" w:color="auto" w:fill="FFFFFF"/>
          <w:lang w:val="en-US" w:eastAsia="zh-CN"/>
        </w:rPr>
        <w:t>（二）《土地储备资金财务管理办法》（财综〔2018〕8号）</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第五条土地储备资金来源于下列渠道：</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（一）财政部门从已供应储备土地产生的土地出让收入中安排给土地储备机构的征地和拆迁补偿费用、土地开发费用等储备土地过程中发生的相关费用；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（二）财政部门从国有土地收益基金中安排用于土地储备的资金；</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（三）发行地方政府债券筹集的土地储备资金；</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（四）经财政部门批准可用于土地储备的其他财政资金。</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bookmarkStart w:id="0" w:name="_GoBack"/>
      <w:r>
        <w:rPr>
          <w:rFonts w:hint="default" w:ascii="仿宋_GB2312" w:hAnsi="仿宋_GB2312" w:eastAsia="仿宋_GB2312" w:cs="仿宋_GB2312"/>
          <w:sz w:val="32"/>
          <w:szCs w:val="32"/>
          <w:lang w:val="en-US" w:eastAsia="zh-CN"/>
        </w:rPr>
        <w:t>第八条土地储备资金使用范围具体包括：</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征收、收购、优先购买或收回土地需要支付的土地价款或征地和拆迁补偿费用。包括土地补偿费和安置补助费、地上附着物和青苗补偿费、拆迁补偿费，以及依法需要支付的与征收、收购、优先购买或收回土地有关的其他费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（二）征收、收购、优先购买或收回土地后进行必要的前期土地开发费用。储备土地的前期开发，仅限于与储备宗地相关的道路、供水、供电、供气、排水、通讯、照明、绿化、土地平整等基础设施建设支出。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（三）按照财政部关于规范土地储备和资金管理的规定需要偿还的土地储备存量贷款本金和利息支出。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（四）经同级财政部门批准的与土地储备有关的其他费用。包括土地储备工作中发生的地籍调查、土地登记、地价评估以及管护中围栏、围墙等建设等支出。</w:t>
      </w:r>
    </w:p>
    <w:bookmarkEnd w:id="0"/>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45"/>
        <w:jc w:val="both"/>
        <w:textAlignment w:val="auto"/>
        <w:rPr>
          <w:rFonts w:hint="eastAsia" w:ascii="仿宋_GB2312" w:hAnsi="仿宋" w:eastAsia="仿宋_GB2312" w:cs="仿宋_GB2312"/>
          <w:b/>
          <w:bCs/>
          <w:color w:val="000000"/>
          <w:sz w:val="32"/>
          <w:szCs w:val="32"/>
          <w:shd w:val="clear" w:color="auto" w:fill="FFFFFF"/>
          <w:lang w:val="en-US" w:eastAsia="zh-CN"/>
        </w:rPr>
      </w:pPr>
    </w:p>
    <w:sectPr>
      <w:footerReference r:id="rId3" w:type="default"/>
      <w:footerReference r:id="rId4" w:type="even"/>
      <w:pgSz w:w="11906" w:h="16838"/>
      <w:pgMar w:top="2041" w:right="1531" w:bottom="204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379C"/>
    <w:rsid w:val="0FED6E15"/>
    <w:rsid w:val="262A40C5"/>
    <w:rsid w:val="296C0438"/>
    <w:rsid w:val="315C379C"/>
    <w:rsid w:val="38BA7B6D"/>
    <w:rsid w:val="3D547D3B"/>
    <w:rsid w:val="5CC05D82"/>
    <w:rsid w:val="727D6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32"/>
    </w:rPr>
  </w:style>
  <w:style w:type="paragraph" w:styleId="4">
    <w:name w:val="footer"/>
    <w:basedOn w:val="1"/>
    <w:semiHidden/>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rPr>
  </w:style>
  <w:style w:type="character" w:styleId="9">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2020-03-09T02:08:00Z</dcterms:created>
  <dc:creator>HP</dc:creator>
  <cp:lastModifiedBy>HP</cp:lastModifiedBy>
  <cp:lastPrinted>2020-07-06T12:36:57Z</cp:lastPrinted>
  <dcterms:modified xsi:type="dcterms:W3CDTF">2020-07-06T12:37:01Z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