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ascii="黑体" w:hAnsi="仿宋" w:eastAsia="黑体" w:cs="Times New Roman"/>
          <w:spacing w:val="-8"/>
          <w:sz w:val="32"/>
          <w:szCs w:val="32"/>
        </w:rPr>
      </w:pPr>
      <w:r>
        <w:rPr>
          <w:rFonts w:hint="eastAsia" w:ascii="黑体" w:hAnsi="仿宋" w:eastAsia="黑体" w:cs="Times New Roman"/>
          <w:spacing w:val="-8"/>
          <w:sz w:val="32"/>
          <w:szCs w:val="32"/>
        </w:rPr>
        <w:t>附件</w:t>
      </w:r>
      <w:r>
        <w:rPr>
          <w:rFonts w:ascii="黑体" w:hAnsi="仿宋" w:eastAsia="黑体" w:cs="Times New Roman"/>
          <w:spacing w:val="-8"/>
          <w:sz w:val="32"/>
          <w:szCs w:val="32"/>
        </w:rPr>
        <w:t>3</w:t>
      </w:r>
    </w:p>
    <w:p>
      <w:pPr>
        <w:pStyle w:val="3"/>
        <w:spacing w:line="530" w:lineRule="exact"/>
        <w:jc w:val="center"/>
        <w:rPr>
          <w:rFonts w:hint="eastAsia" w:ascii="方正小标宋简体" w:hAnsi="STZhongsong" w:eastAsia="方正小标宋简体"/>
          <w:sz w:val="36"/>
          <w:szCs w:val="36"/>
        </w:rPr>
      </w:pPr>
      <w:r>
        <w:rPr>
          <w:rFonts w:hint="eastAsia" w:ascii="方正小标宋简体" w:hAnsi="STZhongsong" w:eastAsia="方正小标宋简体"/>
          <w:sz w:val="36"/>
          <w:szCs w:val="36"/>
        </w:rPr>
        <w:t>《福州市长乐区人民政府</w:t>
      </w:r>
    </w:p>
    <w:p>
      <w:pPr>
        <w:pStyle w:val="3"/>
        <w:spacing w:line="530" w:lineRule="exact"/>
        <w:jc w:val="center"/>
        <w:rPr>
          <w:rFonts w:hint="eastAsia" w:ascii="方正小标宋简体" w:hAnsi="STZhongsong" w:eastAsia="方正小标宋简体"/>
          <w:sz w:val="36"/>
          <w:szCs w:val="36"/>
        </w:rPr>
      </w:pPr>
      <w:r>
        <w:rPr>
          <w:rFonts w:hint="eastAsia" w:ascii="方正小标宋简体" w:hAnsi="STZhongsong" w:eastAsia="方正小标宋简体"/>
          <w:sz w:val="36"/>
          <w:szCs w:val="36"/>
        </w:rPr>
        <w:t>关于</w:t>
      </w:r>
      <w:r>
        <w:rPr>
          <w:rFonts w:hint="eastAsia" w:ascii="方正小标宋简体" w:hAnsi="STZhongsong" w:eastAsia="方正小标宋简体"/>
          <w:sz w:val="36"/>
          <w:szCs w:val="36"/>
          <w:lang w:eastAsia="zh-CN"/>
        </w:rPr>
        <w:t>印发福州市长乐区农村宅基地及房屋确权登记实施细则（试行）的通知</w:t>
      </w:r>
      <w:r>
        <w:rPr>
          <w:rFonts w:hint="eastAsia" w:ascii="方正小标宋简体" w:hAnsi="STZhongsong" w:eastAsia="方正小标宋简体"/>
          <w:sz w:val="36"/>
          <w:szCs w:val="36"/>
        </w:rPr>
        <w:t>》</w:t>
      </w:r>
    </w:p>
    <w:p>
      <w:pPr>
        <w:pStyle w:val="3"/>
        <w:spacing w:line="530" w:lineRule="exact"/>
        <w:jc w:val="center"/>
        <w:rPr>
          <w:rFonts w:ascii="方正小标宋简体" w:hAnsi="STZhongsong" w:eastAsia="方正小标宋简体"/>
          <w:sz w:val="36"/>
          <w:szCs w:val="36"/>
        </w:rPr>
      </w:pPr>
      <w:r>
        <w:rPr>
          <w:rFonts w:hint="eastAsia" w:ascii="方正小标宋简体" w:hAnsi="STZhongsong" w:eastAsia="方正小标宋简体"/>
          <w:sz w:val="36"/>
          <w:szCs w:val="36"/>
        </w:rPr>
        <w:t>制定的主要依据及目录</w:t>
      </w:r>
    </w:p>
    <w:p>
      <w:pPr>
        <w:pStyle w:val="3"/>
        <w:spacing w:line="530" w:lineRule="exact"/>
        <w:jc w:val="center"/>
        <w:rPr>
          <w:rFonts w:ascii="方正小标宋简体" w:hAnsi="STZhongsong" w:eastAsia="方正小标宋简体"/>
          <w:sz w:val="36"/>
          <w:szCs w:val="36"/>
        </w:rPr>
      </w:pPr>
    </w:p>
    <w:p>
      <w:pPr>
        <w:spacing w:line="53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黑体" w:hAnsi="STZhongsong" w:eastAsia="黑体"/>
          <w:sz w:val="32"/>
          <w:szCs w:val="32"/>
        </w:rPr>
        <w:t>一、制定的主要依据</w:t>
      </w:r>
    </w:p>
    <w:p>
      <w:pPr>
        <w:spacing w:line="53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文件制定依据主要为：</w:t>
      </w:r>
      <w:bookmarkStart w:id="0" w:name="_Hlk43062208"/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《中华人民共和国物权法》《中华人民共和国土地管理法》《中华人民共和国城乡规划法》</w:t>
      </w:r>
      <w:bookmarkStart w:id="6" w:name="_GoBack"/>
      <w:bookmarkEnd w:id="6"/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bookmarkEnd w:id="0"/>
    <w:p>
      <w:pPr>
        <w:spacing w:line="530" w:lineRule="exact"/>
        <w:ind w:firstLine="640" w:firstLineChars="200"/>
        <w:rPr>
          <w:rFonts w:ascii="黑体" w:hAnsi="STZhongsong" w:eastAsia="黑体"/>
          <w:sz w:val="32"/>
          <w:szCs w:val="32"/>
        </w:rPr>
      </w:pPr>
      <w:r>
        <w:rPr>
          <w:rFonts w:hint="eastAsia" w:ascii="黑体" w:hAnsi="STZhongsong" w:eastAsia="黑体"/>
          <w:sz w:val="32"/>
          <w:szCs w:val="32"/>
        </w:rPr>
        <w:t>二、主要依据及目录</w:t>
      </w:r>
    </w:p>
    <w:p>
      <w:pPr>
        <w:spacing w:line="530" w:lineRule="exact"/>
        <w:ind w:firstLine="645"/>
        <w:rPr>
          <w:rFonts w:ascii="仿宋_GB2312" w:hAnsi="仿宋" w:eastAsia="仿宋_GB2312" w:cs="仿宋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b/>
          <w:bCs/>
          <w:color w:val="000000"/>
          <w:sz w:val="32"/>
          <w:szCs w:val="32"/>
          <w:shd w:val="clear" w:color="auto" w:fill="FFFFFF"/>
        </w:rPr>
        <w:t>（一）《中华人民共和国</w:t>
      </w:r>
      <w:r>
        <w:rPr>
          <w:rFonts w:hint="eastAsia" w:ascii="仿宋_GB2312" w:hAnsi="仿宋" w:eastAsia="仿宋_GB2312" w:cs="仿宋_GB2312"/>
          <w:b/>
          <w:bCs/>
          <w:color w:val="000000"/>
          <w:sz w:val="32"/>
          <w:szCs w:val="32"/>
          <w:shd w:val="clear" w:color="auto" w:fill="FFFFFF"/>
          <w:lang w:eastAsia="zh-CN"/>
        </w:rPr>
        <w:t>物权法</w:t>
      </w:r>
      <w:r>
        <w:rPr>
          <w:rFonts w:hint="eastAsia" w:ascii="仿宋_GB2312" w:hAnsi="仿宋" w:eastAsia="仿宋_GB2312" w:cs="仿宋_GB2312"/>
          <w:b/>
          <w:bCs/>
          <w:color w:val="000000"/>
          <w:sz w:val="32"/>
          <w:szCs w:val="32"/>
          <w:shd w:val="clear" w:color="auto" w:fill="FFFFFF"/>
        </w:rPr>
        <w:t>》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不动产登记，由不动产所在地的登记机构办理。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"https://www.pkulaw.com/chl/javascript:void(0);"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bookmarkStart w:id="1" w:name="tiao_10_kuan_2"/>
      <w:bookmarkEnd w:id="1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国家对不动产实行统一登记制度。统一登记的范围、登记机构和登记办法，由法律、行政法规规定。</w:t>
      </w:r>
    </w:p>
    <w:p>
      <w:pPr>
        <w:spacing w:line="53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第十一条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当事人申请登记，应当根据不同登记事项提供权属证明和不动产界址、面积等必要材料。</w:t>
      </w:r>
    </w:p>
    <w:p>
      <w:pPr>
        <w:numPr>
          <w:ilvl w:val="0"/>
          <w:numId w:val="1"/>
        </w:numPr>
        <w:spacing w:line="530" w:lineRule="exact"/>
        <w:ind w:firstLine="645"/>
        <w:rPr>
          <w:rFonts w:ascii="仿宋_GB2312" w:hAnsi="仿宋" w:eastAsia="仿宋_GB2312" w:cs="仿宋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b/>
          <w:bCs/>
          <w:color w:val="000000"/>
          <w:sz w:val="32"/>
          <w:szCs w:val="32"/>
          <w:shd w:val="clear" w:color="auto" w:fill="FFFFFF"/>
        </w:rPr>
        <w:t>《</w:t>
      </w:r>
      <w:r>
        <w:rPr>
          <w:rFonts w:hint="eastAsia" w:ascii="仿宋_GB2312" w:hAnsi="仿宋" w:eastAsia="仿宋_GB2312" w:cs="仿宋_GB2312"/>
          <w:b/>
          <w:bCs/>
          <w:color w:val="000000"/>
          <w:sz w:val="32"/>
          <w:szCs w:val="32"/>
          <w:shd w:val="clear" w:color="auto" w:fill="FFFFFF"/>
          <w:lang w:eastAsia="zh-CN"/>
        </w:rPr>
        <w:t>中华人民共和国土地管理法</w:t>
      </w:r>
      <w:r>
        <w:rPr>
          <w:rFonts w:hint="eastAsia" w:ascii="仿宋_GB2312" w:hAnsi="仿宋" w:eastAsia="仿宋_GB2312" w:cs="仿宋_GB2312"/>
          <w:b/>
          <w:bCs/>
          <w:color w:val="000000"/>
          <w:sz w:val="32"/>
          <w:szCs w:val="32"/>
          <w:shd w:val="clear" w:color="auto" w:fill="FFFFFF"/>
        </w:rPr>
        <w:t>》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第六十二条  农村村民一户只能拥有一处宅基地，其宅基地的面积不得超过省、自治区、直辖市规定的标准。人均土地少、不能保障一户拥有一处宅基地的地区，县级人民政府在充分尊重农村村民意愿的基础上，可以采取措施，按照省、自治区、直辖市规定的标准保障农村村民实现户有所居。农村村民建住宅，应当符合乡（镇）土地利用总体规划、村庄规划，不得占用永久基本农田，并尽量使用原有的宅基地和村内空闲地。编制乡（镇）土地利用总体规划、村庄规划应当统筹并合理安排宅基地用地，改善农村村民居住环境和条件。 农村村民住宅用地，由乡（镇）人民政府审核批准；其中，涉及占用农用地的，依照本法第四十四条的规定办理审批手续。 农村村民出卖、出租、赠与住宅后，再申请宅基地的，不予批准。 国家允许进城落户的农村村民依法自愿有偿退出宅基地，鼓励农村集体经济组织及其成员盘活利用闲置宅基地和闲置住宅。 国务院农业农村主管部门负责全国农村宅基地改革和管理有关工作。</w:t>
      </w:r>
    </w:p>
    <w:p>
      <w:pPr>
        <w:numPr>
          <w:ilvl w:val="0"/>
          <w:numId w:val="1"/>
        </w:numPr>
        <w:spacing w:line="530" w:lineRule="exact"/>
        <w:ind w:firstLine="645"/>
        <w:rPr>
          <w:rFonts w:ascii="仿宋_GB2312" w:hAnsi="仿宋" w:eastAsia="仿宋_GB2312" w:cs="仿宋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b/>
          <w:bCs/>
          <w:color w:val="000000"/>
          <w:sz w:val="32"/>
          <w:szCs w:val="32"/>
          <w:shd w:val="clear" w:color="auto" w:fill="FFFFFF"/>
        </w:rPr>
        <w:t>《</w:t>
      </w:r>
      <w:r>
        <w:rPr>
          <w:rFonts w:hint="eastAsia" w:ascii="仿宋_GB2312" w:hAnsi="仿宋" w:eastAsia="仿宋_GB2312" w:cs="仿宋_GB2312"/>
          <w:b/>
          <w:bCs/>
          <w:color w:val="000000"/>
          <w:sz w:val="32"/>
          <w:szCs w:val="32"/>
          <w:shd w:val="clear" w:color="auto" w:fill="FFFFFF"/>
          <w:lang w:eastAsia="zh-CN"/>
        </w:rPr>
        <w:t>中华人民共和国城乡规划法</w:t>
      </w:r>
      <w:r>
        <w:rPr>
          <w:rFonts w:hint="eastAsia" w:ascii="仿宋_GB2312" w:hAnsi="仿宋" w:eastAsia="仿宋_GB2312" w:cs="仿宋_GB2312"/>
          <w:b/>
          <w:bCs/>
          <w:color w:val="000000"/>
          <w:sz w:val="32"/>
          <w:szCs w:val="32"/>
          <w:shd w:val="clear" w:color="auto" w:fill="FFFFFF"/>
        </w:rPr>
        <w:t>》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第六十六条</w:t>
      </w:r>
      <w:bookmarkStart w:id="2" w:name="tiao_66_kuan_1"/>
      <w:bookmarkEnd w:id="2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建设单位或者个人有下列行为之一的，由所在地城市、县人民政府城乡规划主管部门责令限期拆除，可以并处临时建设工程造价一倍以下的罚款：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"https://www.pkulaw.com/chl/javascript:void(0);"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3" w:name="tiao_66_kuan_1_xiang_1"/>
      <w:bookmarkEnd w:id="3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（一）未经批准进行临时建设的；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"https://www.pkulaw.com/chl/javascript:void(0);"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4" w:name="tiao_66_kuan_1_xiang_2"/>
      <w:bookmarkEnd w:id="4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（二）未按照批准内容进行临时建设的；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5" w:name="tiao_66_kuan_1_xiang_3"/>
      <w:bookmarkEnd w:id="5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（三）临时建筑物、构筑物超过批准期限不拆除的。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041" w:right="1531" w:bottom="2041" w:left="1531" w:header="851" w:footer="992" w:gutter="0"/>
      <w:pgNumType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34ED0A8-43B1-4D76-88B2-A70CD4BD600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9B289424-2318-4FD6-A1EC-0A4C72DC5BF6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36F03D6F-6E10-4D9C-88CC-AB376B0CF52E}"/>
  </w:font>
  <w:font w:name="STZho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  <w:embedRegular r:id="rId4" w:fontKey="{7E770915-8488-46A7-93AD-5419B2A86E6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DC4D90CB-978D-46CD-8657-362DB975469D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4</w:t>
    </w:r>
    <w:r>
      <w:rPr>
        <w:rStyle w:val="10"/>
      </w:rPr>
      <w:fldChar w:fldCharType="end"/>
    </w:r>
  </w:p>
  <w:p>
    <w:pPr>
      <w:pStyle w:val="4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1018A"/>
    <w:multiLevelType w:val="singleLevel"/>
    <w:tmpl w:val="2071018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5C379C"/>
    <w:rsid w:val="006F4D88"/>
    <w:rsid w:val="007917B1"/>
    <w:rsid w:val="007935C8"/>
    <w:rsid w:val="0099243E"/>
    <w:rsid w:val="0FED6E15"/>
    <w:rsid w:val="296C0438"/>
    <w:rsid w:val="315C379C"/>
    <w:rsid w:val="38BA7B6D"/>
    <w:rsid w:val="3D547D3B"/>
    <w:rsid w:val="562F0EC7"/>
    <w:rsid w:val="5CC05D82"/>
    <w:rsid w:val="62E5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sz w:val="32"/>
    </w:rPr>
  </w:style>
  <w:style w:type="paragraph" w:styleId="4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99"/>
    <w:rPr>
      <w:rFonts w:cs="Times New Roman"/>
    </w:rPr>
  </w:style>
  <w:style w:type="character" w:customStyle="1" w:styleId="11">
    <w:name w:val="页眉 字符"/>
    <w:basedOn w:val="8"/>
    <w:link w:val="5"/>
    <w:qFormat/>
    <w:uiPriority w:val="0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</Words>
  <Characters>506</Characters>
  <Lines>4</Lines>
  <Paragraphs>1</Paragraphs>
  <TotalTime>6</TotalTime>
  <ScaleCrop>false</ScaleCrop>
  <LinksUpToDate>false</LinksUpToDate>
  <CharactersWithSpaces>593</CharactersWithSpaces>
  <Application>WPS Office_11.1.0.9748_F1E327BC-269C-435d-A152-05C5408002CA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2020-03-09T02:08:00Z</dcterms:created>
  <dc:creator>HP</dc:creator>
  <cp:lastModifiedBy>WPS_1474421507</cp:lastModifiedBy>
  <cp:lastPrinted>2020-06-16T01:23:26Z</cp:lastPrinted>
  <dcterms:modified xsi:type="dcterms:W3CDTF">2020-06-16T01:23:57Z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