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30" w:lineRule="exact"/>
        <w:textAlignment w:val="auto"/>
        <w:rPr>
          <w:rFonts w:ascii="黑体" w:hAnsi="仿宋" w:eastAsia="黑体" w:cs="Times New Roman"/>
          <w:spacing w:val="-8"/>
          <w:sz w:val="32"/>
          <w:szCs w:val="32"/>
        </w:rPr>
      </w:pPr>
      <w:r>
        <w:rPr>
          <w:rFonts w:hint="eastAsia" w:ascii="黑体" w:hAnsi="仿宋" w:eastAsia="黑体" w:cs="Times New Roman"/>
          <w:spacing w:val="-8"/>
          <w:sz w:val="32"/>
          <w:szCs w:val="32"/>
        </w:rPr>
        <w:t>附件</w:t>
      </w:r>
      <w:r>
        <w:rPr>
          <w:rFonts w:ascii="黑体" w:hAnsi="仿宋" w:eastAsia="黑体" w:cs="Times New Roman"/>
          <w:spacing w:val="-8"/>
          <w:sz w:val="32"/>
          <w:szCs w:val="32"/>
        </w:rPr>
        <w:t>3</w:t>
      </w:r>
    </w:p>
    <w:p>
      <w:pPr>
        <w:pStyle w:val="2"/>
        <w:keepNext w:val="0"/>
        <w:keepLines w:val="0"/>
        <w:pageBreakBefore w:val="0"/>
        <w:widowControl w:val="0"/>
        <w:kinsoku/>
        <w:wordWrap/>
        <w:overflowPunct/>
        <w:topLinePunct w:val="0"/>
        <w:autoSpaceDE/>
        <w:autoSpaceDN/>
        <w:bidi w:val="0"/>
        <w:adjustRightInd/>
        <w:snapToGrid/>
        <w:spacing w:line="530" w:lineRule="exact"/>
        <w:jc w:val="center"/>
        <w:textAlignment w:val="auto"/>
        <w:rPr>
          <w:rFonts w:hint="eastAsia" w:ascii="方正小标宋简体" w:hAnsi="华文中宋" w:eastAsia="方正小标宋简体"/>
          <w:sz w:val="36"/>
          <w:szCs w:val="36"/>
        </w:rPr>
      </w:pPr>
      <w:r>
        <w:rPr>
          <w:rFonts w:hint="eastAsia" w:ascii="方正小标宋简体" w:hAnsi="华文中宋" w:eastAsia="方正小标宋简体"/>
          <w:sz w:val="36"/>
          <w:szCs w:val="36"/>
        </w:rPr>
        <w:t>《福州市长乐区人民政府</w:t>
      </w:r>
    </w:p>
    <w:p>
      <w:pPr>
        <w:pStyle w:val="2"/>
        <w:keepNext w:val="0"/>
        <w:keepLines w:val="0"/>
        <w:pageBreakBefore w:val="0"/>
        <w:widowControl w:val="0"/>
        <w:kinsoku/>
        <w:wordWrap/>
        <w:overflowPunct/>
        <w:topLinePunct w:val="0"/>
        <w:autoSpaceDE/>
        <w:autoSpaceDN/>
        <w:bidi w:val="0"/>
        <w:adjustRightInd/>
        <w:snapToGrid/>
        <w:spacing w:line="530" w:lineRule="exact"/>
        <w:jc w:val="center"/>
        <w:textAlignment w:val="auto"/>
        <w:rPr>
          <w:rFonts w:hint="eastAsia" w:ascii="方正小标宋简体" w:hAnsi="华文中宋" w:eastAsia="方正小标宋简体"/>
          <w:sz w:val="36"/>
          <w:szCs w:val="36"/>
          <w:lang w:val="en-US" w:eastAsia="zh-CN"/>
        </w:rPr>
      </w:pPr>
      <w:r>
        <w:rPr>
          <w:rFonts w:hint="eastAsia" w:ascii="方正小标宋简体" w:hAnsi="华文中宋" w:eastAsia="方正小标宋简体"/>
          <w:sz w:val="36"/>
          <w:szCs w:val="36"/>
        </w:rPr>
        <w:t>关于印发长乐区道路同步建设电力管沟管理实施意见的通知》制定的主要依据及</w:t>
      </w:r>
      <w:r>
        <w:rPr>
          <w:rFonts w:hint="eastAsia" w:ascii="方正小标宋简体" w:hAnsi="华文中宋" w:eastAsia="方正小标宋简体"/>
          <w:sz w:val="36"/>
          <w:szCs w:val="36"/>
          <w:lang w:val="en-US" w:eastAsia="zh-CN"/>
        </w:rPr>
        <w:t>目录</w:t>
      </w:r>
    </w:p>
    <w:p>
      <w:pPr>
        <w:pStyle w:val="2"/>
        <w:keepNext w:val="0"/>
        <w:keepLines w:val="0"/>
        <w:pageBreakBefore w:val="0"/>
        <w:widowControl w:val="0"/>
        <w:kinsoku/>
        <w:wordWrap/>
        <w:overflowPunct/>
        <w:topLinePunct w:val="0"/>
        <w:autoSpaceDE/>
        <w:autoSpaceDN/>
        <w:bidi w:val="0"/>
        <w:adjustRightInd/>
        <w:snapToGrid/>
        <w:spacing w:line="530" w:lineRule="exact"/>
        <w:jc w:val="center"/>
        <w:textAlignment w:val="auto"/>
        <w:rPr>
          <w:rFonts w:hint="eastAsia" w:ascii="方正小标宋简体" w:hAnsi="华文中宋" w:eastAsia="方正小标宋简体"/>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黑体" w:hAnsi="华文中宋" w:eastAsia="黑体"/>
          <w:sz w:val="32"/>
          <w:szCs w:val="32"/>
        </w:rPr>
        <w:t>一、制定的主要依据</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文件制定依据主要为：</w:t>
      </w:r>
      <w:r>
        <w:rPr>
          <w:rFonts w:ascii="仿宋_GB2312" w:hAnsi="Calibri" w:eastAsia="仿宋_GB2312"/>
          <w:sz w:val="32"/>
        </w:rPr>
        <w:t>《国务院办公厅关于加强城市地下管线建设管理的指导意见》（国办发〔201</w:t>
      </w:r>
      <w:r>
        <w:rPr>
          <w:rFonts w:hint="eastAsia" w:ascii="仿宋_GB2312" w:hAnsi="Calibri" w:eastAsia="仿宋_GB2312"/>
          <w:sz w:val="32"/>
        </w:rPr>
        <w:t>4</w:t>
      </w:r>
      <w:r>
        <w:rPr>
          <w:rFonts w:ascii="仿宋_GB2312" w:hAnsi="Calibri" w:eastAsia="仿宋_GB2312"/>
          <w:sz w:val="32"/>
        </w:rPr>
        <w:t>〕27号）、《建设工程质量管理条例》</w:t>
      </w:r>
      <w:r>
        <w:rPr>
          <w:rFonts w:hint="eastAsia" w:ascii="仿宋_GB2312" w:hAnsi="Calibri" w:eastAsia="仿宋_GB2312"/>
          <w:sz w:val="32"/>
        </w:rPr>
        <w:t>(国务院令第279号)</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hint="eastAsia" w:ascii="黑体" w:hAnsi="华文中宋" w:eastAsia="黑体"/>
          <w:sz w:val="32"/>
          <w:szCs w:val="32"/>
        </w:rPr>
      </w:pPr>
      <w:r>
        <w:rPr>
          <w:rFonts w:hint="eastAsia" w:ascii="黑体" w:hAnsi="华文中宋" w:eastAsia="黑体"/>
          <w:sz w:val="32"/>
          <w:szCs w:val="32"/>
        </w:rPr>
        <w:t>二、主要依据及目录</w:t>
      </w:r>
    </w:p>
    <w:p>
      <w:pPr>
        <w:keepNext w:val="0"/>
        <w:keepLines w:val="0"/>
        <w:pageBreakBefore w:val="0"/>
        <w:widowControl w:val="0"/>
        <w:kinsoku/>
        <w:wordWrap/>
        <w:overflowPunct/>
        <w:topLinePunct w:val="0"/>
        <w:autoSpaceDE/>
        <w:autoSpaceDN/>
        <w:bidi w:val="0"/>
        <w:adjustRightInd/>
        <w:snapToGrid/>
        <w:spacing w:line="530" w:lineRule="exact"/>
        <w:ind w:firstLine="645"/>
        <w:textAlignment w:val="auto"/>
        <w:rPr>
          <w:rFonts w:hint="eastAsia" w:ascii="仿宋_GB2312" w:hAnsi="仿宋" w:eastAsia="仿宋_GB2312" w:cs="仿宋_GB2312"/>
          <w:b/>
          <w:bCs/>
          <w:color w:val="000000"/>
          <w:sz w:val="32"/>
          <w:szCs w:val="32"/>
          <w:shd w:val="clear" w:color="auto" w:fill="FFFFFF"/>
          <w:lang w:val="en-US" w:eastAsia="zh-CN"/>
        </w:rPr>
      </w:pPr>
      <w:r>
        <w:rPr>
          <w:rFonts w:hint="eastAsia" w:ascii="仿宋_GB2312" w:hAnsi="仿宋" w:eastAsia="仿宋_GB2312" w:cs="仿宋_GB2312"/>
          <w:b/>
          <w:bCs/>
          <w:color w:val="000000"/>
          <w:sz w:val="32"/>
          <w:szCs w:val="32"/>
          <w:shd w:val="clear" w:color="auto" w:fill="FFFFFF"/>
          <w:lang w:val="en-US" w:eastAsia="zh-CN"/>
        </w:rPr>
        <w:t>（一）《国务院办公厅关于加强城市地下管线建设管理的指导意见》（国办发〔2014〕27号）</w:t>
      </w:r>
    </w:p>
    <w:p>
      <w:pPr>
        <w:keepNext w:val="0"/>
        <w:keepLines w:val="0"/>
        <w:pageBreakBefore w:val="0"/>
        <w:widowControl w:val="0"/>
        <w:kinsoku/>
        <w:wordWrap/>
        <w:overflowPunct/>
        <w:topLinePunct w:val="0"/>
        <w:autoSpaceDE/>
        <w:autoSpaceDN/>
        <w:bidi w:val="0"/>
        <w:adjustRightInd/>
        <w:snapToGrid/>
        <w:spacing w:line="530" w:lineRule="exact"/>
        <w:ind w:firstLine="645"/>
        <w:textAlignment w:val="auto"/>
        <w:rPr>
          <w:rFonts w:hint="eastAsia" w:ascii="仿宋_GB2312" w:hAnsi="仿宋_GB2312" w:eastAsia="仿宋_GB2312" w:cs="仿宋_GB2312"/>
          <w:sz w:val="32"/>
          <w:szCs w:val="32"/>
          <w:lang w:val="en-US" w:eastAsia="zh-CN"/>
        </w:rPr>
      </w:pPr>
      <w:r>
        <w:rPr>
          <w:rFonts w:hint="eastAsia" w:ascii="仿宋_GB2312" w:hAnsi="仿宋" w:eastAsia="仿宋_GB2312" w:cs="仿宋_GB2312"/>
          <w:b/>
          <w:bCs/>
          <w:color w:val="000000"/>
          <w:sz w:val="32"/>
          <w:szCs w:val="32"/>
          <w:shd w:val="clear" w:color="auto" w:fill="FFFFFF"/>
          <w:lang w:val="en-US" w:eastAsia="zh-CN"/>
        </w:rPr>
        <w:t>　</w:t>
      </w:r>
      <w:r>
        <w:rPr>
          <w:rFonts w:hint="eastAsia" w:ascii="仿宋_GB2312" w:hAnsi="仿宋_GB2312" w:eastAsia="仿宋_GB2312" w:cs="仿宋_GB2312"/>
          <w:sz w:val="32"/>
          <w:szCs w:val="32"/>
          <w:lang w:val="en-US" w:eastAsia="zh-CN"/>
        </w:rPr>
        <w:t>一、总体工作要求</w:t>
      </w:r>
      <w:r>
        <w:rPr>
          <w:rFonts w:hint="eastAsia" w:ascii="仿宋_GB2312" w:hAnsi="仿宋_GB2312" w:eastAsia="仿宋_GB2312" w:cs="仿宋_GB2312"/>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530" w:lineRule="exact"/>
        <w:ind w:firstLine="645"/>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指导思想。深入学习领会党的十八大和十八届二中、三中全会精神，认真贯彻落实党中央和国务院的各项决策部署，适应中国特色新型城镇化需要，把加强城市地下管线建设管理作为履行政府职能的重要内容，统筹地下管线规划建设、管理维护、应急防灾等全过程，综合运用各项政策措施，提高创新能力，全面加强城市地下管线建设管理。</w:t>
      </w:r>
    </w:p>
    <w:p>
      <w:pPr>
        <w:keepNext w:val="0"/>
        <w:keepLines w:val="0"/>
        <w:pageBreakBefore w:val="0"/>
        <w:widowControl w:val="0"/>
        <w:kinsoku/>
        <w:wordWrap/>
        <w:overflowPunct/>
        <w:topLinePunct w:val="0"/>
        <w:autoSpaceDE/>
        <w:autoSpaceDN/>
        <w:bidi w:val="0"/>
        <w:adjustRightInd/>
        <w:snapToGrid/>
        <w:spacing w:line="530" w:lineRule="exact"/>
        <w:ind w:firstLine="645"/>
        <w:textAlignment w:val="auto"/>
        <w:rPr>
          <w:rFonts w:hint="eastAsia" w:ascii="仿宋_GB2312" w:hAnsi="仿宋" w:eastAsia="仿宋_GB2312" w:cs="仿宋_GB2312"/>
          <w:b/>
          <w:bCs/>
          <w:color w:val="000000"/>
          <w:sz w:val="32"/>
          <w:szCs w:val="32"/>
          <w:shd w:val="clear" w:color="auto" w:fill="FFFFFF"/>
          <w:lang w:val="en-US" w:eastAsia="zh-CN"/>
        </w:rPr>
      </w:pPr>
      <w:r>
        <w:rPr>
          <w:rFonts w:hint="eastAsia" w:ascii="仿宋_GB2312" w:hAnsi="仿宋" w:eastAsia="仿宋_GB2312" w:cs="仿宋_GB2312"/>
          <w:b/>
          <w:bCs/>
          <w:color w:val="000000"/>
          <w:sz w:val="32"/>
          <w:szCs w:val="32"/>
          <w:shd w:val="clear" w:color="auto" w:fill="FFFFFF"/>
          <w:lang w:val="en-US" w:eastAsia="zh-CN"/>
        </w:rPr>
        <w:t>（二）《建设工程质量管理条例》(国务院令第279号)</w:t>
      </w:r>
    </w:p>
    <w:p>
      <w:pPr>
        <w:keepNext w:val="0"/>
        <w:keepLines w:val="0"/>
        <w:pageBreakBefore w:val="0"/>
        <w:widowControl w:val="0"/>
        <w:kinsoku/>
        <w:wordWrap/>
        <w:overflowPunct/>
        <w:topLinePunct w:val="0"/>
        <w:autoSpaceDE/>
        <w:autoSpaceDN/>
        <w:bidi w:val="0"/>
        <w:adjustRightInd/>
        <w:snapToGrid/>
        <w:spacing w:line="530" w:lineRule="exact"/>
        <w:ind w:firstLine="645"/>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第四条　县级以上人民政府建设行政主管部门和其他有关部门应当加强对建设工程质量的监督管理。</w:t>
      </w:r>
    </w:p>
    <w:p>
      <w:pPr>
        <w:keepNext w:val="0"/>
        <w:keepLines w:val="0"/>
        <w:pageBreakBefore w:val="0"/>
        <w:widowControl w:val="0"/>
        <w:kinsoku/>
        <w:wordWrap/>
        <w:overflowPunct/>
        <w:topLinePunct w:val="0"/>
        <w:autoSpaceDE/>
        <w:autoSpaceDN/>
        <w:bidi w:val="0"/>
        <w:adjustRightInd/>
        <w:snapToGrid/>
        <w:spacing w:line="530" w:lineRule="exact"/>
        <w:ind w:firstLine="645"/>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第五条　从事建设工程活动，必须严格执行基本建设程序，坚持先勘察、后设计、再施工的原则。</w:t>
      </w:r>
      <w:bookmarkStart w:id="0" w:name="_GoBack"/>
      <w:bookmarkEnd w:id="0"/>
    </w:p>
    <w:sectPr>
      <w:footerReference r:id="rId3" w:type="default"/>
      <w:footerReference r:id="rId4" w:type="even"/>
      <w:pgSz w:w="11906" w:h="16838"/>
      <w:pgMar w:top="2041" w:right="1531" w:bottom="2041" w:left="1531" w:header="851" w:footer="992" w:gutter="0"/>
      <w:pgNumType w:start="1"/>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4</w:t>
    </w:r>
    <w:r>
      <w:rPr>
        <w:rStyle w:val="8"/>
      </w:rPr>
      <w:fldChar w:fldCharType="end"/>
    </w:r>
  </w:p>
  <w:p>
    <w:pPr>
      <w:pStyle w:val="3"/>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5C379C"/>
    <w:rsid w:val="0FED6E15"/>
    <w:rsid w:val="315C37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qFormat/>
    <w:uiPriority w:val="0"/>
    <w:rPr>
      <w:sz w:val="32"/>
    </w:rPr>
  </w:style>
  <w:style w:type="paragraph" w:styleId="3">
    <w:name w:val="footer"/>
    <w:basedOn w:val="1"/>
    <w:semiHidden/>
    <w:qFormat/>
    <w:uiPriority w:val="99"/>
    <w:pPr>
      <w:tabs>
        <w:tab w:val="center" w:pos="4153"/>
        <w:tab w:val="right" w:pos="8306"/>
      </w:tabs>
      <w:snapToGrid w:val="0"/>
      <w:jc w:val="left"/>
    </w:pPr>
    <w:rPr>
      <w:sz w:val="18"/>
      <w:szCs w:val="18"/>
    </w:rPr>
  </w:style>
  <w:style w:type="paragraph" w:styleId="4">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7">
    <w:name w:val="Strong"/>
    <w:basedOn w:val="6"/>
    <w:qFormat/>
    <w:uiPriority w:val="0"/>
    <w:rPr>
      <w:b/>
    </w:rPr>
  </w:style>
  <w:style w:type="character" w:styleId="8">
    <w:name w:val="page number"/>
    <w:basedOn w:val="6"/>
    <w:qFormat/>
    <w:uiPriority w:val="99"/>
    <w:rPr>
      <w:rFonts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155</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2020-03-09T02:08:00Z</dcterms:created>
  <dc:creator>HP</dc:creator>
  <cp:lastModifiedBy>HP</cp:lastModifiedBy>
  <cp:lastPrinted>2020-04-10T04:22:44Z</cp:lastPrinted>
  <dcterms:modified xsi:type="dcterms:W3CDTF">2020-04-10T06:55:41Z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