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附件：</w:t>
      </w:r>
    </w:p>
    <w:p>
      <w:pPr>
        <w:spacing w:line="560" w:lineRule="exact"/>
        <w:jc w:val="left"/>
        <w:rPr>
          <w:rFonts w:ascii="方正小标宋简体" w:hAnsi="微软雅黑" w:eastAsia="方正小标宋简体"/>
          <w:sz w:val="44"/>
          <w:szCs w:val="44"/>
        </w:rPr>
      </w:pPr>
    </w:p>
    <w:p>
      <w:pPr>
        <w:spacing w:line="560" w:lineRule="exact"/>
        <w:jc w:val="center"/>
        <w:rPr>
          <w:rFonts w:ascii="方正小标宋简体" w:hAnsi="微软雅黑" w:eastAsia="方正小标宋简体"/>
          <w:sz w:val="44"/>
          <w:szCs w:val="44"/>
        </w:rPr>
      </w:pPr>
      <w:r>
        <w:rPr>
          <w:rFonts w:hint="eastAsia" w:ascii="方正小标宋简体" w:hAnsi="微软雅黑" w:eastAsia="方正小标宋简体"/>
          <w:sz w:val="44"/>
          <w:szCs w:val="44"/>
        </w:rPr>
        <w:t>长乐</w:t>
      </w:r>
      <w:r>
        <w:rPr>
          <w:rFonts w:ascii="方正小标宋简体" w:hAnsi="微软雅黑" w:eastAsia="方正小标宋简体"/>
          <w:sz w:val="44"/>
          <w:szCs w:val="44"/>
        </w:rPr>
        <w:t>区</w:t>
      </w:r>
      <w:r>
        <w:rPr>
          <w:rFonts w:hint="eastAsia" w:ascii="方正小标宋简体" w:hAnsi="微软雅黑" w:eastAsia="方正小标宋简体"/>
          <w:sz w:val="44"/>
          <w:szCs w:val="44"/>
        </w:rPr>
        <w:t>和平</w:t>
      </w:r>
      <w:r>
        <w:rPr>
          <w:rFonts w:ascii="方正小标宋简体" w:hAnsi="微软雅黑" w:eastAsia="方正小标宋简体"/>
          <w:sz w:val="44"/>
          <w:szCs w:val="44"/>
        </w:rPr>
        <w:t>街</w:t>
      </w:r>
      <w:r>
        <w:rPr>
          <w:rFonts w:hint="eastAsia" w:ascii="方正小标宋简体" w:hAnsi="微软雅黑" w:eastAsia="方正小标宋简体"/>
          <w:sz w:val="44"/>
          <w:szCs w:val="44"/>
        </w:rPr>
        <w:t>周边片区土地征收</w:t>
      </w:r>
    </w:p>
    <w:p>
      <w:pPr>
        <w:spacing w:line="560" w:lineRule="exact"/>
        <w:jc w:val="center"/>
        <w:rPr>
          <w:rFonts w:ascii="方正小标宋简体" w:hAnsi="微软雅黑" w:eastAsia="方正小标宋简体"/>
          <w:sz w:val="44"/>
          <w:szCs w:val="44"/>
        </w:rPr>
      </w:pPr>
      <w:r>
        <w:rPr>
          <w:rFonts w:hint="eastAsia" w:ascii="方正小标宋简体" w:hAnsi="微软雅黑" w:eastAsia="方正小标宋简体"/>
          <w:sz w:val="44"/>
          <w:szCs w:val="44"/>
        </w:rPr>
        <w:t>成片开发方案</w:t>
      </w:r>
    </w:p>
    <w:p>
      <w:pPr>
        <w:spacing w:line="560" w:lineRule="exact"/>
        <w:jc w:val="center"/>
        <w:rPr>
          <w:rFonts w:ascii="方正小标宋简体" w:hAnsi="微软雅黑" w:eastAsia="方正小标宋简体"/>
          <w:sz w:val="44"/>
          <w:szCs w:val="44"/>
        </w:rPr>
      </w:pPr>
    </w:p>
    <w:p>
      <w:pPr>
        <w:pStyle w:val="2"/>
        <w:numPr>
          <w:ilvl w:val="0"/>
          <w:numId w:val="0"/>
        </w:numPr>
        <w:spacing w:line="560" w:lineRule="exact"/>
        <w:ind w:firstLine="640" w:firstLineChars="200"/>
        <w:rPr>
          <w:rFonts w:ascii="黑体" w:hAnsi="黑体" w:eastAsia="黑体"/>
          <w:b w:val="0"/>
          <w:szCs w:val="32"/>
        </w:rPr>
      </w:pPr>
      <w:r>
        <w:rPr>
          <w:rFonts w:hint="eastAsia" w:ascii="黑体" w:hAnsi="黑体" w:eastAsia="黑体"/>
          <w:b w:val="0"/>
          <w:szCs w:val="32"/>
        </w:rPr>
        <w:t>一、编制依据</w:t>
      </w:r>
    </w:p>
    <w:p>
      <w:pPr>
        <w:spacing w:line="56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依据《中华人民共和国土地管理法》（2019年</w:t>
      </w:r>
      <w:r>
        <w:rPr>
          <w:rFonts w:ascii="仿宋_GB2312" w:hAnsi="宋体" w:eastAsia="仿宋_GB2312"/>
          <w:sz w:val="32"/>
          <w:szCs w:val="32"/>
        </w:rPr>
        <w:t>修正版</w:t>
      </w:r>
      <w:r>
        <w:rPr>
          <w:rFonts w:hint="eastAsia" w:ascii="仿宋_GB2312" w:hAnsi="宋体" w:eastAsia="仿宋_GB2312"/>
          <w:sz w:val="32"/>
          <w:szCs w:val="32"/>
        </w:rPr>
        <w:t>）、《土地征收成片开发标准（试行）》、</w:t>
      </w:r>
      <w:bookmarkStart w:id="0" w:name="_Hlk62547865"/>
      <w:r>
        <w:rPr>
          <w:rFonts w:hint="eastAsia" w:ascii="仿宋_GB2312" w:hAnsi="宋体" w:eastAsia="仿宋_GB2312"/>
          <w:sz w:val="32"/>
          <w:szCs w:val="32"/>
        </w:rPr>
        <w:t>《国土空间调查、规划、用途管制用地用海分类指南（试行）》、</w:t>
      </w:r>
      <w:bookmarkEnd w:id="0"/>
      <w:r>
        <w:rPr>
          <w:rFonts w:hint="eastAsia" w:ascii="仿宋_GB2312" w:hAnsi="宋体" w:eastAsia="仿宋_GB2312"/>
          <w:sz w:val="32"/>
          <w:szCs w:val="32"/>
        </w:rPr>
        <w:t>《长乐区土地利用总体规划（2006-2020）》（调整方案）、《长乐市</w:t>
      </w:r>
      <w:r>
        <w:rPr>
          <w:rFonts w:ascii="仿宋_GB2312" w:hAnsi="宋体" w:eastAsia="仿宋_GB2312"/>
          <w:sz w:val="32"/>
          <w:szCs w:val="32"/>
        </w:rPr>
        <w:t>旧城区</w:t>
      </w:r>
      <w:r>
        <w:rPr>
          <w:rFonts w:hint="eastAsia" w:ascii="仿宋_GB2312" w:hAnsi="宋体" w:eastAsia="仿宋_GB2312"/>
          <w:sz w:val="32"/>
          <w:szCs w:val="32"/>
        </w:rPr>
        <w:t>控制性详细规划》、《关于福州市长乐区20</w:t>
      </w:r>
      <w:r>
        <w:rPr>
          <w:rFonts w:ascii="仿宋_GB2312" w:hAnsi="宋体" w:eastAsia="仿宋_GB2312"/>
          <w:sz w:val="32"/>
          <w:szCs w:val="32"/>
        </w:rPr>
        <w:t>20</w:t>
      </w:r>
      <w:r>
        <w:rPr>
          <w:rFonts w:hint="eastAsia" w:ascii="仿宋_GB2312" w:hAnsi="宋体" w:eastAsia="仿宋_GB2312"/>
          <w:sz w:val="32"/>
          <w:szCs w:val="32"/>
        </w:rPr>
        <w:t>年国民经济和社会发展计划执行情况与202</w:t>
      </w:r>
      <w:r>
        <w:rPr>
          <w:rFonts w:ascii="仿宋_GB2312" w:hAnsi="宋体" w:eastAsia="仿宋_GB2312"/>
          <w:sz w:val="32"/>
          <w:szCs w:val="32"/>
        </w:rPr>
        <w:t>1</w:t>
      </w:r>
      <w:r>
        <w:rPr>
          <w:rFonts w:hint="eastAsia" w:ascii="仿宋_GB2312" w:hAnsi="宋体" w:eastAsia="仿宋_GB2312"/>
          <w:sz w:val="32"/>
          <w:szCs w:val="32"/>
        </w:rPr>
        <w:t>年计划草案的报告》编制《长乐</w:t>
      </w:r>
      <w:r>
        <w:rPr>
          <w:rFonts w:ascii="仿宋_GB2312" w:hAnsi="宋体" w:eastAsia="仿宋_GB2312"/>
          <w:sz w:val="32"/>
          <w:szCs w:val="32"/>
        </w:rPr>
        <w:t>区</w:t>
      </w:r>
      <w:r>
        <w:rPr>
          <w:rFonts w:hint="eastAsia" w:ascii="仿宋_GB2312" w:hAnsi="宋体" w:eastAsia="仿宋_GB2312"/>
          <w:sz w:val="32"/>
          <w:szCs w:val="32"/>
        </w:rPr>
        <w:t>和平</w:t>
      </w:r>
      <w:r>
        <w:rPr>
          <w:rFonts w:ascii="仿宋_GB2312" w:hAnsi="宋体" w:eastAsia="仿宋_GB2312"/>
          <w:sz w:val="32"/>
          <w:szCs w:val="32"/>
        </w:rPr>
        <w:t>街</w:t>
      </w:r>
      <w:r>
        <w:rPr>
          <w:rFonts w:hint="eastAsia" w:ascii="仿宋_GB2312" w:hAnsi="宋体" w:eastAsia="仿宋_GB2312"/>
          <w:sz w:val="32"/>
          <w:szCs w:val="32"/>
        </w:rPr>
        <w:t>周边片区土地征收成片开发方案》。</w:t>
      </w:r>
    </w:p>
    <w:p>
      <w:pPr>
        <w:pStyle w:val="2"/>
        <w:numPr>
          <w:ilvl w:val="0"/>
          <w:numId w:val="0"/>
        </w:numPr>
        <w:spacing w:line="560" w:lineRule="exact"/>
        <w:ind w:firstLine="640" w:firstLineChars="200"/>
        <w:rPr>
          <w:rFonts w:ascii="黑体" w:hAnsi="黑体" w:eastAsia="黑体"/>
          <w:b w:val="0"/>
          <w:szCs w:val="32"/>
        </w:rPr>
      </w:pPr>
      <w:r>
        <w:rPr>
          <w:rFonts w:hint="eastAsia" w:ascii="黑体" w:hAnsi="黑体" w:eastAsia="黑体"/>
          <w:b w:val="0"/>
          <w:szCs w:val="32"/>
        </w:rPr>
        <w:t>二、基本情况</w:t>
      </w:r>
    </w:p>
    <w:p>
      <w:pPr>
        <w:spacing w:line="56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本片区涉及吴航街道的东关村，共</w:t>
      </w:r>
      <w:r>
        <w:rPr>
          <w:rFonts w:ascii="仿宋_GB2312" w:hAnsi="宋体" w:eastAsia="仿宋_GB2312"/>
          <w:sz w:val="32"/>
          <w:szCs w:val="32"/>
        </w:rPr>
        <w:t>1个</w:t>
      </w:r>
      <w:r>
        <w:rPr>
          <w:rFonts w:hint="eastAsia" w:ascii="仿宋_GB2312" w:hAnsi="宋体" w:eastAsia="仿宋_GB2312"/>
          <w:sz w:val="32"/>
          <w:szCs w:val="32"/>
        </w:rPr>
        <w:t>街道</w:t>
      </w:r>
      <w:r>
        <w:rPr>
          <w:rFonts w:ascii="仿宋_GB2312" w:hAnsi="宋体" w:eastAsia="仿宋_GB2312"/>
          <w:sz w:val="32"/>
          <w:szCs w:val="32"/>
        </w:rPr>
        <w:t>1个村；范围面积16.8349公顷。</w:t>
      </w:r>
      <w:r>
        <w:rPr>
          <w:rFonts w:hint="eastAsia" w:ascii="仿宋_GB2312" w:hAnsi="宋体" w:eastAsia="仿宋_GB2312"/>
          <w:sz w:val="32"/>
          <w:szCs w:val="32"/>
        </w:rPr>
        <w:t>其中东关</w:t>
      </w:r>
      <w:r>
        <w:rPr>
          <w:rFonts w:ascii="仿宋_GB2312" w:hAnsi="宋体" w:eastAsia="仿宋_GB2312"/>
          <w:sz w:val="32"/>
          <w:szCs w:val="32"/>
        </w:rPr>
        <w:t>村集体土地面积</w:t>
      </w:r>
      <w:r>
        <w:rPr>
          <w:rFonts w:hint="eastAsia" w:ascii="仿宋_GB2312" w:hAnsi="宋体" w:eastAsia="仿宋_GB2312"/>
          <w:sz w:val="32"/>
          <w:szCs w:val="32"/>
        </w:rPr>
        <w:t>11.5606公顷</w:t>
      </w:r>
      <w:r>
        <w:rPr>
          <w:rFonts w:ascii="仿宋_GB2312" w:hAnsi="宋体" w:eastAsia="仿宋_GB2312"/>
          <w:sz w:val="32"/>
          <w:szCs w:val="32"/>
        </w:rPr>
        <w:t>，使用国有土地面积</w:t>
      </w:r>
      <w:r>
        <w:rPr>
          <w:rFonts w:hint="eastAsia" w:ascii="仿宋_GB2312" w:hAnsi="宋体" w:eastAsia="仿宋_GB2312"/>
          <w:sz w:val="32"/>
          <w:szCs w:val="32"/>
        </w:rPr>
        <w:t>5.2743公顷</w:t>
      </w:r>
      <w:r>
        <w:rPr>
          <w:rFonts w:ascii="仿宋_GB2312" w:hAnsi="宋体" w:eastAsia="仿宋_GB2312"/>
          <w:sz w:val="32"/>
          <w:szCs w:val="32"/>
        </w:rPr>
        <w:t>。片区东</w:t>
      </w:r>
      <w:r>
        <w:rPr>
          <w:rFonts w:hint="eastAsia" w:ascii="仿宋_GB2312" w:hAnsi="宋体" w:eastAsia="仿宋_GB2312"/>
          <w:sz w:val="32"/>
          <w:szCs w:val="32"/>
        </w:rPr>
        <w:t>至福州</w:t>
      </w:r>
      <w:r>
        <w:rPr>
          <w:rFonts w:ascii="仿宋_GB2312" w:hAnsi="宋体" w:eastAsia="仿宋_GB2312"/>
          <w:sz w:val="32"/>
          <w:szCs w:val="32"/>
        </w:rPr>
        <w:t>机场高速，</w:t>
      </w:r>
      <w:r>
        <w:rPr>
          <w:rFonts w:hint="eastAsia" w:ascii="仿宋_GB2312" w:hAnsi="宋体" w:eastAsia="仿宋_GB2312"/>
          <w:sz w:val="32"/>
          <w:szCs w:val="32"/>
        </w:rPr>
        <w:t>西至郑</w:t>
      </w:r>
      <w:r>
        <w:rPr>
          <w:rFonts w:ascii="仿宋_GB2312" w:hAnsi="宋体" w:eastAsia="仿宋_GB2312"/>
          <w:sz w:val="32"/>
          <w:szCs w:val="32"/>
        </w:rPr>
        <w:t>和东路，</w:t>
      </w:r>
      <w:r>
        <w:rPr>
          <w:rFonts w:hint="eastAsia" w:ascii="仿宋_GB2312" w:hAnsi="宋体" w:eastAsia="仿宋_GB2312"/>
          <w:sz w:val="32"/>
          <w:szCs w:val="32"/>
        </w:rPr>
        <w:t>南至长乐区</w:t>
      </w:r>
      <w:r>
        <w:rPr>
          <w:rFonts w:ascii="仿宋_GB2312" w:hAnsi="宋体" w:eastAsia="仿宋_GB2312"/>
          <w:sz w:val="32"/>
          <w:szCs w:val="32"/>
        </w:rPr>
        <w:t>特殊教育学校，北</w:t>
      </w:r>
      <w:r>
        <w:rPr>
          <w:rFonts w:hint="eastAsia" w:ascii="仿宋_GB2312" w:hAnsi="宋体" w:eastAsia="仿宋_GB2312"/>
          <w:sz w:val="32"/>
          <w:szCs w:val="32"/>
        </w:rPr>
        <w:t>至长乐第一</w:t>
      </w:r>
      <w:r>
        <w:rPr>
          <w:rFonts w:ascii="仿宋_GB2312" w:hAnsi="宋体" w:eastAsia="仿宋_GB2312"/>
          <w:sz w:val="32"/>
          <w:szCs w:val="32"/>
        </w:rPr>
        <w:t>中学。</w:t>
      </w:r>
    </w:p>
    <w:p>
      <w:pPr>
        <w:spacing w:line="56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农用地面积为0.3128</w:t>
      </w:r>
      <w:r>
        <w:rPr>
          <w:rFonts w:ascii="仿宋_GB2312" w:hAnsi="宋体" w:eastAsia="仿宋_GB2312"/>
          <w:sz w:val="32"/>
          <w:szCs w:val="32"/>
        </w:rPr>
        <w:t>公顷，占成片开发范围的</w:t>
      </w:r>
      <w:r>
        <w:rPr>
          <w:rFonts w:hint="eastAsia" w:ascii="仿宋_GB2312" w:hAnsi="宋体" w:eastAsia="仿宋_GB2312"/>
          <w:sz w:val="32"/>
          <w:szCs w:val="32"/>
        </w:rPr>
        <w:t>1.86</w:t>
      </w:r>
      <w:r>
        <w:rPr>
          <w:rFonts w:ascii="仿宋_GB2312" w:hAnsi="宋体" w:eastAsia="仿宋_GB2312"/>
          <w:sz w:val="32"/>
          <w:szCs w:val="32"/>
        </w:rPr>
        <w:t>%；建设用地面积为</w:t>
      </w:r>
      <w:r>
        <w:rPr>
          <w:rFonts w:hint="eastAsia" w:ascii="仿宋_GB2312" w:hAnsi="宋体" w:eastAsia="仿宋_GB2312"/>
          <w:sz w:val="32"/>
          <w:szCs w:val="32"/>
        </w:rPr>
        <w:t>16.5221</w:t>
      </w:r>
      <w:r>
        <w:rPr>
          <w:rFonts w:ascii="仿宋_GB2312" w:hAnsi="宋体" w:eastAsia="仿宋_GB2312"/>
          <w:sz w:val="32"/>
          <w:szCs w:val="32"/>
        </w:rPr>
        <w:t>公顷，占成片开发范围的</w:t>
      </w:r>
      <w:r>
        <w:rPr>
          <w:rFonts w:hint="eastAsia" w:ascii="仿宋_GB2312" w:hAnsi="宋体" w:eastAsia="仿宋_GB2312"/>
          <w:sz w:val="32"/>
          <w:szCs w:val="32"/>
        </w:rPr>
        <w:t>98.14</w:t>
      </w:r>
      <w:r>
        <w:rPr>
          <w:rFonts w:ascii="仿宋_GB2312" w:hAnsi="宋体" w:eastAsia="仿宋_GB2312"/>
          <w:sz w:val="32"/>
          <w:szCs w:val="32"/>
        </w:rPr>
        <w:t>%。</w:t>
      </w:r>
    </w:p>
    <w:p>
      <w:pPr>
        <w:pStyle w:val="2"/>
        <w:numPr>
          <w:ilvl w:val="0"/>
          <w:numId w:val="0"/>
        </w:numPr>
        <w:spacing w:line="560" w:lineRule="exact"/>
        <w:ind w:firstLine="640" w:firstLineChars="200"/>
        <w:rPr>
          <w:rFonts w:ascii="黑体" w:hAnsi="黑体" w:eastAsia="黑体"/>
          <w:b w:val="0"/>
          <w:szCs w:val="32"/>
        </w:rPr>
      </w:pPr>
      <w:r>
        <w:rPr>
          <w:rFonts w:ascii="黑体" w:hAnsi="黑体" w:eastAsia="黑体"/>
          <w:b w:val="0"/>
          <w:szCs w:val="32"/>
        </w:rPr>
        <w:t xml:space="preserve"> </w:t>
      </w:r>
      <w:r>
        <w:rPr>
          <w:rFonts w:hint="eastAsia" w:ascii="黑体" w:hAnsi="黑体" w:eastAsia="黑体"/>
          <w:b w:val="0"/>
          <w:szCs w:val="32"/>
        </w:rPr>
        <w:t>三、项目的必要性</w:t>
      </w:r>
    </w:p>
    <w:p>
      <w:pPr>
        <w:spacing w:line="56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本片区是长乐区</w:t>
      </w:r>
      <w:r>
        <w:rPr>
          <w:rFonts w:ascii="仿宋_GB2312" w:hAnsi="宋体" w:eastAsia="仿宋_GB2312"/>
          <w:sz w:val="32"/>
          <w:szCs w:val="32"/>
        </w:rPr>
        <w:t>旧城改造的</w:t>
      </w:r>
      <w:r>
        <w:rPr>
          <w:rFonts w:hint="eastAsia" w:ascii="仿宋_GB2312" w:hAnsi="宋体" w:eastAsia="仿宋_GB2312"/>
          <w:sz w:val="32"/>
          <w:szCs w:val="32"/>
        </w:rPr>
        <w:t>重要</w:t>
      </w:r>
      <w:r>
        <w:rPr>
          <w:rFonts w:ascii="仿宋_GB2312" w:hAnsi="宋体" w:eastAsia="仿宋_GB2312"/>
          <w:sz w:val="32"/>
          <w:szCs w:val="32"/>
        </w:rPr>
        <w:t>片区，其成片开发是进一步推进旧城更新，补齐民生短板，增进民众福祉的需要</w:t>
      </w:r>
      <w:r>
        <w:rPr>
          <w:rFonts w:hint="eastAsia" w:ascii="仿宋_GB2312" w:hAnsi="宋体" w:eastAsia="仿宋_GB2312"/>
          <w:sz w:val="32"/>
          <w:szCs w:val="32"/>
        </w:rPr>
        <w:t>。本次成片开发的实施，可改善区域投资环境，提升该片区的整体形象及提供长乐</w:t>
      </w:r>
      <w:r>
        <w:rPr>
          <w:rFonts w:ascii="仿宋_GB2312" w:hAnsi="宋体" w:eastAsia="仿宋_GB2312"/>
          <w:sz w:val="32"/>
          <w:szCs w:val="32"/>
        </w:rPr>
        <w:t>老城区的文化展示空间</w:t>
      </w:r>
      <w:r>
        <w:rPr>
          <w:rFonts w:hint="eastAsia" w:ascii="仿宋_GB2312" w:hAnsi="宋体" w:eastAsia="仿宋_GB2312"/>
          <w:sz w:val="32"/>
          <w:szCs w:val="32"/>
        </w:rPr>
        <w:t>，促进当地</w:t>
      </w:r>
      <w:r>
        <w:rPr>
          <w:rFonts w:ascii="仿宋_GB2312" w:hAnsi="宋体" w:eastAsia="仿宋_GB2312"/>
          <w:sz w:val="32"/>
          <w:szCs w:val="32"/>
        </w:rPr>
        <w:t>文化</w:t>
      </w:r>
      <w:r>
        <w:rPr>
          <w:rFonts w:hint="eastAsia" w:ascii="仿宋_GB2312" w:hAnsi="宋体" w:eastAsia="仿宋_GB2312"/>
          <w:sz w:val="32"/>
          <w:szCs w:val="32"/>
        </w:rPr>
        <w:t>产业发展，从而推动本片区及周边地区的整体提升。同时土地要素保障是高质量发展不可或缺的核心，因此本片区的成片开发还是保障“十四五”期间土地资源要素供应的需要。</w:t>
      </w:r>
    </w:p>
    <w:p>
      <w:pPr>
        <w:pStyle w:val="2"/>
        <w:numPr>
          <w:ilvl w:val="0"/>
          <w:numId w:val="0"/>
        </w:numPr>
        <w:spacing w:line="560" w:lineRule="exact"/>
        <w:ind w:firstLine="640" w:firstLineChars="200"/>
        <w:rPr>
          <w:rFonts w:ascii="黑体" w:hAnsi="黑体" w:eastAsia="黑体"/>
          <w:b w:val="0"/>
          <w:szCs w:val="32"/>
        </w:rPr>
      </w:pPr>
      <w:r>
        <w:rPr>
          <w:rFonts w:hint="eastAsia" w:ascii="黑体" w:hAnsi="黑体" w:eastAsia="黑体"/>
          <w:b w:val="0"/>
          <w:szCs w:val="32"/>
        </w:rPr>
        <w:t>四、规划土地用途分析</w:t>
      </w:r>
    </w:p>
    <w:p>
      <w:pPr>
        <w:widowControl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本方案包括居住用地</w:t>
      </w:r>
      <w:r>
        <w:rPr>
          <w:rFonts w:ascii="仿宋_GB2312" w:hAnsi="宋体" w:eastAsia="仿宋_GB2312"/>
          <w:sz w:val="32"/>
          <w:szCs w:val="32"/>
        </w:rPr>
        <w:t>面积9.6470公顷</w:t>
      </w:r>
      <w:r>
        <w:rPr>
          <w:rFonts w:hint="eastAsia" w:ascii="仿宋_GB2312" w:hAnsi="宋体" w:eastAsia="仿宋_GB2312"/>
          <w:sz w:val="32"/>
          <w:szCs w:val="32"/>
        </w:rPr>
        <w:t>，商业</w:t>
      </w:r>
      <w:r>
        <w:rPr>
          <w:rFonts w:ascii="仿宋_GB2312" w:hAnsi="宋体" w:eastAsia="仿宋_GB2312"/>
          <w:sz w:val="32"/>
          <w:szCs w:val="32"/>
        </w:rPr>
        <w:t>服务业用地</w:t>
      </w:r>
      <w:r>
        <w:rPr>
          <w:rFonts w:hint="eastAsia" w:ascii="仿宋_GB2312" w:hAnsi="宋体" w:eastAsia="仿宋_GB2312"/>
          <w:sz w:val="32"/>
          <w:szCs w:val="32"/>
        </w:rPr>
        <w:t>面积</w:t>
      </w:r>
      <w:r>
        <w:rPr>
          <w:rFonts w:ascii="仿宋_GB2312" w:hAnsi="宋体" w:eastAsia="仿宋_GB2312"/>
          <w:sz w:val="32"/>
          <w:szCs w:val="32"/>
        </w:rPr>
        <w:t>0.1893</w:t>
      </w:r>
      <w:r>
        <w:rPr>
          <w:rFonts w:hint="eastAsia" w:ascii="仿宋_GB2312" w:hAnsi="宋体" w:eastAsia="仿宋_GB2312"/>
          <w:sz w:val="32"/>
          <w:szCs w:val="32"/>
        </w:rPr>
        <w:t>公顷</w:t>
      </w:r>
      <w:r>
        <w:rPr>
          <w:rFonts w:ascii="仿宋_GB2312" w:hAnsi="宋体" w:eastAsia="仿宋_GB2312"/>
          <w:sz w:val="32"/>
          <w:szCs w:val="32"/>
        </w:rPr>
        <w:t>，</w:t>
      </w:r>
      <w:r>
        <w:rPr>
          <w:rFonts w:hint="eastAsia" w:ascii="仿宋_GB2312" w:hAnsi="宋体" w:eastAsia="仿宋_GB2312"/>
          <w:sz w:val="32"/>
          <w:szCs w:val="32"/>
        </w:rPr>
        <w:t>公共</w:t>
      </w:r>
      <w:r>
        <w:rPr>
          <w:rFonts w:ascii="仿宋_GB2312" w:hAnsi="宋体" w:eastAsia="仿宋_GB2312"/>
          <w:sz w:val="32"/>
          <w:szCs w:val="32"/>
        </w:rPr>
        <w:t>管理与公共服务用地面积3.1573</w:t>
      </w:r>
      <w:r>
        <w:rPr>
          <w:rFonts w:hint="eastAsia" w:ascii="仿宋_GB2312" w:hAnsi="宋体" w:eastAsia="仿宋_GB2312"/>
          <w:sz w:val="32"/>
          <w:szCs w:val="32"/>
        </w:rPr>
        <w:t>公顷</w:t>
      </w:r>
      <w:r>
        <w:rPr>
          <w:rFonts w:ascii="仿宋_GB2312" w:hAnsi="宋体" w:eastAsia="仿宋_GB2312"/>
          <w:sz w:val="32"/>
          <w:szCs w:val="32"/>
        </w:rPr>
        <w:t>，</w:t>
      </w:r>
      <w:r>
        <w:rPr>
          <w:rFonts w:hint="eastAsia" w:ascii="仿宋_GB2312" w:hAnsi="宋体" w:eastAsia="仿宋_GB2312"/>
          <w:sz w:val="32"/>
          <w:szCs w:val="32"/>
        </w:rPr>
        <w:t>特殊</w:t>
      </w:r>
      <w:r>
        <w:rPr>
          <w:rFonts w:ascii="仿宋_GB2312" w:hAnsi="宋体" w:eastAsia="仿宋_GB2312"/>
          <w:sz w:val="32"/>
          <w:szCs w:val="32"/>
        </w:rPr>
        <w:t>用地面积</w:t>
      </w:r>
      <w:r>
        <w:rPr>
          <w:rFonts w:hint="eastAsia" w:ascii="仿宋_GB2312" w:hAnsi="宋体" w:eastAsia="仿宋_GB2312"/>
          <w:sz w:val="32"/>
          <w:szCs w:val="32"/>
        </w:rPr>
        <w:t>0.</w:t>
      </w:r>
      <w:r>
        <w:rPr>
          <w:rFonts w:ascii="仿宋_GB2312" w:hAnsi="宋体" w:eastAsia="仿宋_GB2312"/>
          <w:sz w:val="32"/>
          <w:szCs w:val="32"/>
        </w:rPr>
        <w:t>5454</w:t>
      </w:r>
      <w:r>
        <w:rPr>
          <w:rFonts w:hint="eastAsia" w:ascii="仿宋_GB2312" w:hAnsi="宋体" w:eastAsia="仿宋_GB2312"/>
          <w:sz w:val="32"/>
          <w:szCs w:val="32"/>
        </w:rPr>
        <w:t>公顷</w:t>
      </w:r>
      <w:r>
        <w:rPr>
          <w:rFonts w:ascii="仿宋_GB2312" w:hAnsi="宋体" w:eastAsia="仿宋_GB2312"/>
          <w:sz w:val="32"/>
          <w:szCs w:val="32"/>
        </w:rPr>
        <w:t>，</w:t>
      </w:r>
      <w:r>
        <w:rPr>
          <w:rFonts w:hint="eastAsia" w:ascii="仿宋_GB2312" w:hAnsi="宋体" w:eastAsia="仿宋_GB2312"/>
          <w:sz w:val="32"/>
          <w:szCs w:val="32"/>
        </w:rPr>
        <w:t>交通运输用地面积</w:t>
      </w:r>
      <w:r>
        <w:rPr>
          <w:rFonts w:ascii="仿宋_GB2312" w:hAnsi="宋体" w:eastAsia="仿宋_GB2312"/>
          <w:sz w:val="32"/>
          <w:szCs w:val="32"/>
        </w:rPr>
        <w:t>1.6691</w:t>
      </w:r>
      <w:r>
        <w:rPr>
          <w:rFonts w:hint="eastAsia" w:ascii="仿宋_GB2312" w:hAnsi="宋体" w:eastAsia="仿宋_GB2312"/>
          <w:sz w:val="32"/>
          <w:szCs w:val="32"/>
        </w:rPr>
        <w:t>公顷，绿地</w:t>
      </w:r>
      <w:r>
        <w:rPr>
          <w:rFonts w:ascii="仿宋_GB2312" w:hAnsi="宋体" w:eastAsia="仿宋_GB2312"/>
          <w:sz w:val="32"/>
          <w:szCs w:val="32"/>
        </w:rPr>
        <w:t>与开敞空间用地面积</w:t>
      </w:r>
      <w:r>
        <w:rPr>
          <w:rFonts w:hint="eastAsia" w:ascii="仿宋_GB2312" w:hAnsi="宋体" w:eastAsia="仿宋_GB2312"/>
          <w:sz w:val="32"/>
          <w:szCs w:val="32"/>
        </w:rPr>
        <w:t>0.9223公顷</w:t>
      </w:r>
      <w:r>
        <w:rPr>
          <w:rFonts w:ascii="仿宋_GB2312" w:hAnsi="宋体" w:eastAsia="仿宋_GB2312"/>
          <w:sz w:val="32"/>
          <w:szCs w:val="32"/>
        </w:rPr>
        <w:t>，陆地水域面积0.7045</w:t>
      </w:r>
      <w:r>
        <w:rPr>
          <w:rFonts w:hint="eastAsia" w:ascii="仿宋_GB2312" w:hAnsi="宋体" w:eastAsia="仿宋_GB2312"/>
          <w:sz w:val="32"/>
          <w:szCs w:val="32"/>
        </w:rPr>
        <w:t>公顷</w:t>
      </w:r>
      <w:r>
        <w:rPr>
          <w:rFonts w:ascii="仿宋_GB2312" w:hAnsi="宋体" w:eastAsia="仿宋_GB2312"/>
          <w:sz w:val="32"/>
          <w:szCs w:val="32"/>
        </w:rPr>
        <w:t>。</w:t>
      </w:r>
    </w:p>
    <w:p>
      <w:pPr>
        <w:pStyle w:val="2"/>
        <w:numPr>
          <w:ilvl w:val="0"/>
          <w:numId w:val="0"/>
        </w:numPr>
        <w:spacing w:line="560" w:lineRule="exact"/>
        <w:ind w:firstLine="640" w:firstLineChars="200"/>
        <w:rPr>
          <w:rFonts w:ascii="黑体" w:hAnsi="黑体" w:eastAsia="黑体"/>
          <w:b w:val="0"/>
          <w:szCs w:val="32"/>
        </w:rPr>
      </w:pPr>
      <w:r>
        <w:rPr>
          <w:rFonts w:hint="eastAsia" w:ascii="黑体" w:hAnsi="黑体" w:eastAsia="黑体"/>
          <w:b w:val="0"/>
          <w:szCs w:val="32"/>
        </w:rPr>
        <w:t>五、公益性用地</w:t>
      </w:r>
      <w:r>
        <w:rPr>
          <w:rFonts w:ascii="黑体" w:hAnsi="黑体" w:eastAsia="黑体"/>
          <w:b w:val="0"/>
          <w:szCs w:val="32"/>
        </w:rPr>
        <w:t>情况</w:t>
      </w:r>
    </w:p>
    <w:p>
      <w:pPr>
        <w:spacing w:line="560" w:lineRule="exact"/>
        <w:ind w:firstLine="640" w:firstLineChars="200"/>
        <w:rPr>
          <w:rFonts w:ascii="仿宋_GB2312" w:hAnsi="宋体" w:eastAsia="仿宋_GB2312"/>
          <w:bCs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片区内公益性用地</w:t>
      </w:r>
      <w:r>
        <w:rPr>
          <w:rFonts w:ascii="仿宋_GB2312" w:hAnsi="宋体" w:eastAsia="仿宋_GB2312"/>
          <w:sz w:val="32"/>
          <w:szCs w:val="32"/>
        </w:rPr>
        <w:t>包含</w:t>
      </w:r>
      <w:r>
        <w:rPr>
          <w:rFonts w:hint="eastAsia" w:ascii="仿宋_GB2312" w:hAnsi="宋体" w:eastAsia="仿宋_GB2312"/>
          <w:sz w:val="32"/>
          <w:szCs w:val="32"/>
        </w:rPr>
        <w:t>公共</w:t>
      </w:r>
      <w:r>
        <w:rPr>
          <w:rFonts w:ascii="仿宋_GB2312" w:hAnsi="宋体" w:eastAsia="仿宋_GB2312"/>
          <w:sz w:val="32"/>
          <w:szCs w:val="32"/>
        </w:rPr>
        <w:t>管理与公共服务用地</w:t>
      </w:r>
      <w:r>
        <w:rPr>
          <w:rFonts w:hint="eastAsia" w:ascii="仿宋_GB2312" w:hAnsi="宋体" w:eastAsia="仿宋_GB2312"/>
          <w:sz w:val="32"/>
          <w:szCs w:val="32"/>
        </w:rPr>
        <w:t>、交通运输用地、</w:t>
      </w:r>
      <w:r>
        <w:rPr>
          <w:rFonts w:ascii="仿宋_GB2312" w:hAnsi="宋体" w:eastAsia="仿宋_GB2312"/>
          <w:sz w:val="32"/>
          <w:szCs w:val="32"/>
        </w:rPr>
        <w:t>绿地与开敞空间用地</w:t>
      </w:r>
      <w:r>
        <w:rPr>
          <w:rFonts w:hint="eastAsia" w:ascii="仿宋_GB2312" w:hAnsi="宋体" w:eastAsia="仿宋_GB2312"/>
          <w:sz w:val="32"/>
          <w:szCs w:val="32"/>
        </w:rPr>
        <w:t>、特殊</w:t>
      </w:r>
      <w:r>
        <w:rPr>
          <w:rFonts w:ascii="仿宋_GB2312" w:hAnsi="宋体" w:eastAsia="仿宋_GB2312"/>
          <w:sz w:val="32"/>
          <w:szCs w:val="32"/>
        </w:rPr>
        <w:t>用地</w:t>
      </w:r>
      <w:r>
        <w:rPr>
          <w:rFonts w:hint="eastAsia" w:ascii="仿宋_GB2312" w:hAnsi="宋体" w:eastAsia="仿宋_GB2312"/>
          <w:sz w:val="32"/>
          <w:szCs w:val="32"/>
        </w:rPr>
        <w:t>和</w:t>
      </w:r>
      <w:r>
        <w:rPr>
          <w:rFonts w:ascii="仿宋_GB2312" w:hAnsi="宋体" w:eastAsia="仿宋_GB2312"/>
          <w:sz w:val="32"/>
          <w:szCs w:val="32"/>
        </w:rPr>
        <w:t>陆地水域</w:t>
      </w:r>
      <w:r>
        <w:rPr>
          <w:rFonts w:hint="eastAsia" w:ascii="仿宋_GB2312" w:hAnsi="宋体" w:eastAsia="仿宋_GB2312"/>
          <w:sz w:val="32"/>
          <w:szCs w:val="32"/>
        </w:rPr>
        <w:t>，合计</w:t>
      </w:r>
      <w:r>
        <w:rPr>
          <w:rFonts w:ascii="仿宋_GB2312" w:hAnsi="宋体" w:eastAsia="仿宋_GB2312"/>
          <w:sz w:val="32"/>
          <w:szCs w:val="32"/>
        </w:rPr>
        <w:t>6.9986</w:t>
      </w:r>
      <w:r>
        <w:rPr>
          <w:rFonts w:hint="eastAsia" w:ascii="仿宋_GB2312" w:hAnsi="宋体" w:eastAsia="仿宋_GB2312"/>
          <w:sz w:val="32"/>
          <w:szCs w:val="32"/>
        </w:rPr>
        <w:t>公</w:t>
      </w:r>
      <w:r>
        <w:rPr>
          <w:rFonts w:ascii="仿宋_GB2312" w:hAnsi="宋体" w:eastAsia="仿宋_GB2312"/>
          <w:sz w:val="32"/>
          <w:szCs w:val="32"/>
        </w:rPr>
        <w:t>顷，公益性比例41.57%，满足土地征收“成片开发”标准（试行）中公益性用地占比超过40%的规定</w:t>
      </w:r>
      <w:r>
        <w:rPr>
          <w:rFonts w:hint="eastAsia" w:ascii="仿宋_GB2312" w:hAnsi="宋体" w:eastAsia="仿宋_GB2312"/>
          <w:bCs/>
          <w:sz w:val="32"/>
          <w:szCs w:val="32"/>
        </w:rPr>
        <w:t>。</w:t>
      </w:r>
    </w:p>
    <w:p>
      <w:pPr>
        <w:pStyle w:val="2"/>
        <w:numPr>
          <w:ilvl w:val="0"/>
          <w:numId w:val="0"/>
        </w:numPr>
        <w:spacing w:line="560" w:lineRule="exact"/>
        <w:ind w:firstLine="640" w:firstLineChars="200"/>
        <w:rPr>
          <w:rFonts w:ascii="黑体" w:hAnsi="黑体" w:eastAsia="黑体"/>
          <w:b w:val="0"/>
          <w:szCs w:val="32"/>
        </w:rPr>
      </w:pPr>
      <w:r>
        <w:rPr>
          <w:rFonts w:hint="eastAsia" w:ascii="黑体" w:hAnsi="黑体" w:eastAsia="黑体"/>
          <w:b w:val="0"/>
          <w:szCs w:val="32"/>
        </w:rPr>
        <w:t>六</w:t>
      </w:r>
      <w:r>
        <w:rPr>
          <w:rFonts w:ascii="黑体" w:hAnsi="黑体" w:eastAsia="黑体"/>
          <w:b w:val="0"/>
          <w:szCs w:val="32"/>
        </w:rPr>
        <w:t>、规划符合情况</w:t>
      </w:r>
    </w:p>
    <w:p>
      <w:pPr>
        <w:spacing w:line="56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ascii="仿宋_GB2312" w:hAnsi="宋体" w:eastAsia="仿宋_GB2312"/>
          <w:sz w:val="32"/>
          <w:szCs w:val="32"/>
        </w:rPr>
        <w:t>本方案符合国民经济和社会发展规划的发展定位、要求，有 利于完成规划目标、任务，已纳入国民经济和社会发展年度计划。 成片开发范围均位于土地利用总体规划确定的允许建设区</w:t>
      </w:r>
      <w:r>
        <w:rPr>
          <w:rFonts w:hint="eastAsia" w:ascii="仿宋_GB2312" w:hAnsi="宋体" w:eastAsia="仿宋_GB2312"/>
          <w:sz w:val="32"/>
          <w:szCs w:val="32"/>
        </w:rPr>
        <w:t>和有</w:t>
      </w:r>
      <w:r>
        <w:rPr>
          <w:rFonts w:ascii="仿宋_GB2312" w:hAnsi="宋体" w:eastAsia="仿宋_GB2312"/>
          <w:sz w:val="32"/>
          <w:szCs w:val="32"/>
        </w:rPr>
        <w:t>条件建设区，承诺方案获批后，纳入国土空间规划确定的城镇开发边界内的集中建设区</w:t>
      </w:r>
      <w:r>
        <w:rPr>
          <w:rFonts w:hint="eastAsia" w:ascii="仿宋_GB2312" w:hAnsi="宋体" w:eastAsia="仿宋_GB2312"/>
          <w:sz w:val="32"/>
          <w:szCs w:val="32"/>
        </w:rPr>
        <w:t>，目前该片区</w:t>
      </w:r>
      <w:r>
        <w:rPr>
          <w:rFonts w:ascii="仿宋_GB2312" w:hAnsi="宋体" w:eastAsia="仿宋_GB2312"/>
          <w:sz w:val="32"/>
          <w:szCs w:val="32"/>
        </w:rPr>
        <w:t>成片开发范围</w:t>
      </w:r>
      <w:r>
        <w:rPr>
          <w:rFonts w:hint="eastAsia" w:ascii="仿宋_GB2312" w:hAnsi="宋体" w:eastAsia="仿宋_GB2312"/>
          <w:sz w:val="32"/>
          <w:szCs w:val="32"/>
        </w:rPr>
        <w:t>已纳入上传系统的城镇开发边界集中建设区。</w:t>
      </w:r>
    </w:p>
    <w:p>
      <w:pPr>
        <w:pStyle w:val="2"/>
        <w:numPr>
          <w:ilvl w:val="0"/>
          <w:numId w:val="0"/>
        </w:numPr>
        <w:spacing w:line="560" w:lineRule="exact"/>
        <w:ind w:firstLine="640" w:firstLineChars="200"/>
        <w:rPr>
          <w:rFonts w:ascii="黑体" w:hAnsi="黑体" w:eastAsia="黑体"/>
          <w:b w:val="0"/>
          <w:szCs w:val="32"/>
        </w:rPr>
      </w:pPr>
      <w:r>
        <w:rPr>
          <w:rFonts w:hint="eastAsia" w:ascii="黑体" w:hAnsi="黑体" w:eastAsia="黑体"/>
          <w:b w:val="0"/>
          <w:szCs w:val="32"/>
        </w:rPr>
        <w:t>七</w:t>
      </w:r>
      <w:r>
        <w:rPr>
          <w:rFonts w:ascii="黑体" w:hAnsi="黑体" w:eastAsia="黑体"/>
          <w:b w:val="0"/>
          <w:szCs w:val="32"/>
        </w:rPr>
        <w:t>、</w:t>
      </w:r>
      <w:r>
        <w:rPr>
          <w:rFonts w:hint="eastAsia" w:ascii="黑体" w:hAnsi="黑体" w:eastAsia="黑体"/>
          <w:b w:val="0"/>
          <w:szCs w:val="32"/>
        </w:rPr>
        <w:t>永久基本农田及生态保护情况</w:t>
      </w:r>
    </w:p>
    <w:p>
      <w:pPr>
        <w:spacing w:line="56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成片开发范围内不涉及永久基本农田、陆域生态保护红线等，符合成片开发项目送审报批的要求。</w:t>
      </w:r>
    </w:p>
    <w:p>
      <w:pPr>
        <w:pStyle w:val="2"/>
        <w:numPr>
          <w:ilvl w:val="0"/>
          <w:numId w:val="0"/>
        </w:numPr>
        <w:spacing w:line="560" w:lineRule="exact"/>
        <w:ind w:firstLine="640" w:firstLineChars="200"/>
        <w:rPr>
          <w:rFonts w:ascii="黑体" w:hAnsi="黑体" w:eastAsia="黑体"/>
          <w:b w:val="0"/>
          <w:szCs w:val="32"/>
        </w:rPr>
      </w:pPr>
      <w:r>
        <w:rPr>
          <w:rFonts w:hint="eastAsia" w:ascii="黑体" w:hAnsi="黑体" w:eastAsia="黑体"/>
          <w:b w:val="0"/>
          <w:szCs w:val="32"/>
        </w:rPr>
        <w:t>八</w:t>
      </w:r>
      <w:r>
        <w:rPr>
          <w:rFonts w:ascii="黑体" w:hAnsi="黑体" w:eastAsia="黑体"/>
          <w:b w:val="0"/>
          <w:szCs w:val="32"/>
        </w:rPr>
        <w:t>、</w:t>
      </w:r>
      <w:r>
        <w:rPr>
          <w:rFonts w:hint="eastAsia" w:ascii="黑体" w:hAnsi="黑体" w:eastAsia="黑体"/>
          <w:b w:val="0"/>
          <w:szCs w:val="32"/>
        </w:rPr>
        <w:t>实施计划</w:t>
      </w:r>
    </w:p>
    <w:p>
      <w:pPr>
        <w:spacing w:line="56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本方案用地</w:t>
      </w:r>
      <w:r>
        <w:rPr>
          <w:rFonts w:ascii="仿宋_GB2312" w:hAnsi="宋体" w:eastAsia="仿宋_GB2312"/>
          <w:sz w:val="32"/>
          <w:szCs w:val="32"/>
        </w:rPr>
        <w:t>总面积16.8349</w:t>
      </w:r>
      <w:r>
        <w:rPr>
          <w:rFonts w:hint="eastAsia" w:ascii="仿宋_GB2312" w:hAnsi="宋体" w:eastAsia="仿宋_GB2312"/>
          <w:sz w:val="32"/>
          <w:szCs w:val="32"/>
        </w:rPr>
        <w:t>公顷</w:t>
      </w:r>
      <w:r>
        <w:rPr>
          <w:rFonts w:ascii="仿宋_GB2312" w:hAnsi="宋体" w:eastAsia="仿宋_GB2312"/>
          <w:sz w:val="32"/>
          <w:szCs w:val="32"/>
        </w:rPr>
        <w:t>，涉及已完成实施面积</w:t>
      </w:r>
      <w:r>
        <w:rPr>
          <w:rFonts w:hint="eastAsia" w:ascii="仿宋_GB2312" w:hAnsi="宋体" w:eastAsia="仿宋_GB2312"/>
          <w:sz w:val="32"/>
          <w:szCs w:val="32"/>
        </w:rPr>
        <w:t>5.2743公顷</w:t>
      </w:r>
      <w:r>
        <w:rPr>
          <w:rFonts w:ascii="仿宋_GB2312" w:hAnsi="宋体" w:eastAsia="仿宋_GB2312"/>
          <w:sz w:val="32"/>
          <w:szCs w:val="32"/>
        </w:rPr>
        <w:t>，</w:t>
      </w:r>
      <w:r>
        <w:rPr>
          <w:rFonts w:hint="eastAsia" w:ascii="仿宋_GB2312" w:hAnsi="宋体" w:eastAsia="仿宋_GB2312"/>
          <w:sz w:val="32"/>
          <w:szCs w:val="32"/>
          <w:lang w:eastAsia="zh-CN"/>
        </w:rPr>
        <w:t>现状集体</w:t>
      </w:r>
      <w:r>
        <w:rPr>
          <w:rFonts w:hint="eastAsia" w:ascii="仿宋_GB2312" w:hAnsi="宋体" w:eastAsia="仿宋_GB2312"/>
          <w:sz w:val="32"/>
          <w:szCs w:val="32"/>
        </w:rPr>
        <w:t>土地面积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11.5606公顷，其</w:t>
      </w:r>
      <w:r>
        <w:rPr>
          <w:rFonts w:hint="eastAsia" w:ascii="仿宋_GB2312" w:hAnsi="宋体" w:eastAsia="仿宋_GB2312"/>
          <w:sz w:val="32"/>
          <w:szCs w:val="32"/>
        </w:rPr>
        <w:t>中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0.8925</w:t>
      </w:r>
      <w:r>
        <w:rPr>
          <w:rFonts w:hint="eastAsia" w:ascii="仿宋_GB2312" w:hAnsi="宋体" w:eastAsia="仿宋_GB2312"/>
          <w:sz w:val="32"/>
          <w:szCs w:val="32"/>
        </w:rPr>
        <w:t>公顷</w:t>
      </w:r>
      <w:r>
        <w:rPr>
          <w:rFonts w:hint="eastAsia" w:ascii="仿宋_GB2312" w:hAnsi="宋体" w:eastAsia="仿宋_GB2312"/>
          <w:sz w:val="32"/>
          <w:szCs w:val="32"/>
          <w:lang w:eastAsia="zh-CN"/>
        </w:rPr>
        <w:t>集体土地包括</w:t>
      </w:r>
      <w:r>
        <w:rPr>
          <w:rFonts w:hint="eastAsia" w:ascii="仿宋_GB2312" w:hAnsi="宋体" w:eastAsia="仿宋_GB2312"/>
          <w:sz w:val="32"/>
          <w:szCs w:val="32"/>
        </w:rPr>
        <w:t>现状</w:t>
      </w:r>
      <w:r>
        <w:rPr>
          <w:rFonts w:hint="eastAsia" w:ascii="仿宋_GB2312" w:hAnsi="宋体" w:eastAsia="仿宋_GB2312"/>
          <w:sz w:val="32"/>
          <w:szCs w:val="32"/>
          <w:lang w:eastAsia="zh-CN"/>
        </w:rPr>
        <w:t>长乐第一</w:t>
      </w:r>
      <w:r>
        <w:rPr>
          <w:rFonts w:hint="eastAsia" w:ascii="仿宋_GB2312" w:hAnsi="宋体" w:eastAsia="仿宋_GB2312"/>
          <w:sz w:val="32"/>
          <w:szCs w:val="32"/>
        </w:rPr>
        <w:t>中学</w:t>
      </w:r>
      <w:r>
        <w:rPr>
          <w:rFonts w:hint="eastAsia" w:ascii="仿宋_GB2312" w:hAnsi="宋体" w:eastAsia="仿宋_GB2312"/>
          <w:sz w:val="32"/>
          <w:szCs w:val="32"/>
          <w:lang w:eastAsia="zh-CN"/>
        </w:rPr>
        <w:t>、司马第、太平桥、汾阳王庙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3处文物古迹、1处行政办公用地以及种芝宫等2处宗教用地</w:t>
      </w:r>
      <w:r>
        <w:rPr>
          <w:rFonts w:hint="eastAsia" w:ascii="仿宋_GB2312" w:hAnsi="宋体" w:eastAsia="仿宋_GB2312"/>
          <w:sz w:val="32"/>
          <w:szCs w:val="32"/>
        </w:rPr>
        <w:t>，故拟安排实施项目面积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10.6681</w:t>
      </w:r>
      <w:bookmarkStart w:id="1" w:name="_GoBack"/>
      <w:bookmarkEnd w:id="1"/>
      <w:r>
        <w:rPr>
          <w:rFonts w:ascii="仿宋_GB2312" w:hAnsi="宋体" w:eastAsia="仿宋_GB2312"/>
          <w:sz w:val="32"/>
          <w:szCs w:val="32"/>
        </w:rPr>
        <w:t>公顷，计划实施周期为2022-2024年，</w:t>
      </w:r>
      <w:r>
        <w:rPr>
          <w:rFonts w:hint="eastAsia" w:ascii="仿宋_GB2312" w:hAnsi="宋体" w:eastAsia="仿宋_GB2312"/>
          <w:sz w:val="32"/>
          <w:szCs w:val="32"/>
        </w:rPr>
        <w:t>3</w:t>
      </w:r>
      <w:r>
        <w:rPr>
          <w:rFonts w:ascii="仿宋_GB2312" w:hAnsi="宋体" w:eastAsia="仿宋_GB2312"/>
          <w:sz w:val="32"/>
          <w:szCs w:val="32"/>
        </w:rPr>
        <w:t>年内实施完毕。</w:t>
      </w:r>
    </w:p>
    <w:p>
      <w:pPr>
        <w:pStyle w:val="2"/>
        <w:numPr>
          <w:ilvl w:val="0"/>
          <w:numId w:val="0"/>
        </w:numPr>
        <w:spacing w:line="560" w:lineRule="exact"/>
        <w:ind w:firstLine="640" w:firstLineChars="200"/>
        <w:rPr>
          <w:rFonts w:ascii="黑体" w:hAnsi="黑体" w:eastAsia="黑体"/>
          <w:b w:val="0"/>
          <w:szCs w:val="32"/>
        </w:rPr>
      </w:pPr>
      <w:r>
        <w:rPr>
          <w:rFonts w:hint="eastAsia" w:ascii="黑体" w:hAnsi="黑体" w:eastAsia="黑体"/>
          <w:b w:val="0"/>
          <w:szCs w:val="32"/>
        </w:rPr>
        <w:t>九、征地农民利益</w:t>
      </w:r>
      <w:r>
        <w:rPr>
          <w:rFonts w:ascii="黑体" w:hAnsi="黑体" w:eastAsia="黑体"/>
          <w:b w:val="0"/>
          <w:szCs w:val="32"/>
        </w:rPr>
        <w:t>保障</w:t>
      </w:r>
    </w:p>
    <w:p>
      <w:pPr>
        <w:spacing w:line="560" w:lineRule="exact"/>
        <w:ind w:firstLine="640" w:firstLineChars="200"/>
        <w:rPr>
          <w:rFonts w:ascii="仿宋_GB2312" w:hAnsi="宋体" w:eastAsia="仿宋_GB2312"/>
          <w:bCs/>
          <w:sz w:val="32"/>
          <w:szCs w:val="32"/>
        </w:rPr>
      </w:pPr>
      <w:r>
        <w:rPr>
          <w:rFonts w:hint="eastAsia" w:ascii="仿宋_GB2312" w:hAnsi="宋体" w:eastAsia="仿宋_GB2312"/>
          <w:bCs/>
          <w:sz w:val="32"/>
          <w:szCs w:val="32"/>
        </w:rPr>
        <w:t>本片区建设涉及征地补偿与房屋征收标准依据</w:t>
      </w:r>
      <w:r>
        <w:rPr>
          <w:rFonts w:ascii="仿宋_GB2312" w:hAnsi="宋体" w:eastAsia="仿宋_GB2312"/>
          <w:bCs/>
          <w:sz w:val="32"/>
          <w:szCs w:val="32"/>
        </w:rPr>
        <w:t>《福建省人民政府关于全面实行征地区片综合地价的通知》（闽政〔2017〕2号）以及《长乐市人民政府关于印发调整长乐市征地补偿标准的通知》（长政综〔2017〕69号）的规定</w:t>
      </w:r>
      <w:r>
        <w:rPr>
          <w:rFonts w:hint="eastAsia" w:ascii="仿宋_GB2312" w:hAnsi="宋体" w:eastAsia="仿宋_GB2312"/>
          <w:bCs/>
          <w:sz w:val="32"/>
          <w:szCs w:val="32"/>
        </w:rPr>
        <w:t>予以实施。长乐区人民政府将严格按照规定履行征地前告知、现状调查及确认、听证、公告等程序。</w:t>
      </w:r>
    </w:p>
    <w:p>
      <w:pPr>
        <w:pStyle w:val="2"/>
        <w:numPr>
          <w:ilvl w:val="0"/>
          <w:numId w:val="0"/>
        </w:numPr>
        <w:spacing w:line="560" w:lineRule="exact"/>
        <w:ind w:firstLine="640" w:firstLineChars="200"/>
        <w:rPr>
          <w:rFonts w:ascii="黑体" w:hAnsi="黑体" w:eastAsia="黑体"/>
          <w:b w:val="0"/>
          <w:szCs w:val="32"/>
        </w:rPr>
      </w:pPr>
      <w:r>
        <w:rPr>
          <w:rFonts w:hint="eastAsia" w:ascii="黑体" w:hAnsi="黑体" w:eastAsia="黑体"/>
          <w:b w:val="0"/>
          <w:szCs w:val="32"/>
        </w:rPr>
        <w:t>十、效益评估</w:t>
      </w:r>
    </w:p>
    <w:p>
      <w:pPr>
        <w:spacing w:line="560" w:lineRule="exact"/>
        <w:ind w:firstLine="640" w:firstLineChars="200"/>
        <w:rPr>
          <w:rFonts w:ascii="仿宋_GB2312" w:hAnsi="宋体" w:eastAsia="仿宋_GB2312"/>
          <w:bCs/>
          <w:sz w:val="32"/>
          <w:szCs w:val="32"/>
        </w:rPr>
      </w:pPr>
      <w:r>
        <w:rPr>
          <w:rFonts w:hint="eastAsia" w:ascii="仿宋_GB2312" w:hAnsi="宋体" w:eastAsia="仿宋_GB2312"/>
          <w:bCs/>
          <w:sz w:val="32"/>
          <w:szCs w:val="32"/>
        </w:rPr>
        <w:t>（一）土地利用效益：有助于提高现有用地使用效益，实现土地利用由粗放型向集约型的根本转变。有利于优化建设用地空间布局，提高建设用地集约利用水平。</w:t>
      </w:r>
    </w:p>
    <w:p>
      <w:pPr>
        <w:spacing w:line="56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bCs/>
          <w:sz w:val="32"/>
          <w:szCs w:val="32"/>
        </w:rPr>
        <w:t>（二）经济、社会效益：</w:t>
      </w:r>
      <w:r>
        <w:rPr>
          <w:rFonts w:hint="eastAsia" w:ascii="仿宋_GB2312" w:hAnsi="宋体" w:eastAsia="仿宋_GB2312"/>
          <w:sz w:val="32"/>
          <w:szCs w:val="32"/>
        </w:rPr>
        <w:t>通过建设长乐</w:t>
      </w:r>
      <w:r>
        <w:rPr>
          <w:rFonts w:ascii="仿宋_GB2312" w:hAnsi="宋体" w:eastAsia="仿宋_GB2312"/>
          <w:sz w:val="32"/>
          <w:szCs w:val="32"/>
        </w:rPr>
        <w:t>区</w:t>
      </w:r>
      <w:r>
        <w:rPr>
          <w:rFonts w:hint="eastAsia" w:ascii="仿宋_GB2312" w:hAnsi="宋体" w:eastAsia="仿宋_GB2312"/>
          <w:sz w:val="32"/>
          <w:szCs w:val="32"/>
        </w:rPr>
        <w:t>和平街周边片区，有利于改善周边基础设施条件，提升周边城乡居民生活品质，挖掘长乐</w:t>
      </w:r>
      <w:r>
        <w:rPr>
          <w:rFonts w:ascii="仿宋_GB2312" w:hAnsi="宋体" w:eastAsia="仿宋_GB2312"/>
          <w:sz w:val="32"/>
          <w:szCs w:val="32"/>
        </w:rPr>
        <w:t>老城的文化内涵</w:t>
      </w:r>
      <w:r>
        <w:rPr>
          <w:rFonts w:hint="eastAsia" w:ascii="仿宋_GB2312" w:hAnsi="宋体" w:eastAsia="仿宋_GB2312"/>
          <w:sz w:val="32"/>
          <w:szCs w:val="32"/>
        </w:rPr>
        <w:t>。</w:t>
      </w:r>
    </w:p>
    <w:p>
      <w:pPr>
        <w:spacing w:line="560" w:lineRule="exact"/>
        <w:ind w:firstLine="640" w:firstLineChars="200"/>
        <w:rPr>
          <w:rFonts w:ascii="仿宋_GB2312" w:hAnsi="宋体" w:eastAsia="仿宋_GB2312"/>
          <w:bCs/>
          <w:sz w:val="32"/>
          <w:szCs w:val="32"/>
        </w:rPr>
      </w:pPr>
      <w:r>
        <w:rPr>
          <w:rFonts w:hint="eastAsia" w:ascii="仿宋_GB2312" w:hAnsi="宋体" w:eastAsia="仿宋_GB2312"/>
          <w:bCs/>
          <w:sz w:val="32"/>
          <w:szCs w:val="32"/>
        </w:rPr>
        <w:t>（三）生态效益：对区域在大气环境、生态环境、地下水环境、土壤环境的影响较小。规划范围内城市绿地建设将有效提升人均绿地面积，改善人居环境。</w:t>
      </w:r>
    </w:p>
    <w:p>
      <w:pPr>
        <w:pStyle w:val="2"/>
        <w:numPr>
          <w:ilvl w:val="0"/>
          <w:numId w:val="0"/>
        </w:numPr>
        <w:spacing w:line="560" w:lineRule="exact"/>
        <w:ind w:firstLine="640" w:firstLineChars="200"/>
        <w:rPr>
          <w:rFonts w:ascii="黑体" w:hAnsi="黑体" w:eastAsia="黑体"/>
          <w:b w:val="0"/>
          <w:szCs w:val="32"/>
        </w:rPr>
      </w:pPr>
      <w:r>
        <w:rPr>
          <w:rFonts w:hint="eastAsia" w:ascii="黑体" w:hAnsi="黑体" w:eastAsia="黑体"/>
          <w:b w:val="0"/>
          <w:szCs w:val="32"/>
        </w:rPr>
        <w:t>十一、结论</w:t>
      </w:r>
    </w:p>
    <w:p>
      <w:pPr>
        <w:spacing w:line="560" w:lineRule="exact"/>
        <w:ind w:firstLine="640" w:firstLineChars="200"/>
        <w:rPr>
          <w:rFonts w:ascii="仿宋_GB2312" w:hAnsi="宋体" w:eastAsia="仿宋_GB2312"/>
          <w:bCs/>
          <w:sz w:val="32"/>
          <w:szCs w:val="32"/>
        </w:rPr>
        <w:sectPr>
          <w:footerReference r:id="rId3" w:type="default"/>
          <w:pgSz w:w="11906" w:h="16838"/>
          <w:pgMar w:top="2098" w:right="1474" w:bottom="1984" w:left="1587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hint="eastAsia" w:ascii="仿宋_GB2312" w:hAnsi="宋体" w:eastAsia="仿宋_GB2312"/>
          <w:bCs/>
          <w:sz w:val="32"/>
          <w:szCs w:val="32"/>
        </w:rPr>
        <w:t>《长乐区和平街周边片区土地征收成片开发方案》符合土地征收成片开发的标准。</w:t>
      </w:r>
    </w:p>
    <w:p>
      <w:pPr>
        <w:widowControl/>
        <w:spacing w:line="560" w:lineRule="exact"/>
        <w:jc w:val="left"/>
        <w:rPr>
          <w:rFonts w:hint="eastAsia" w:ascii="仿宋_GB2312" w:hAnsi="宋体" w:eastAsia="仿宋_GB2312"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1780540</wp:posOffset>
            </wp:positionH>
            <wp:positionV relativeFrom="paragraph">
              <wp:posOffset>464820</wp:posOffset>
            </wp:positionV>
            <wp:extent cx="6952615" cy="4862195"/>
            <wp:effectExtent l="0" t="0" r="635" b="0"/>
            <wp:wrapTopAndBottom/>
            <wp:docPr id="2" name="图片 2" descr="C:\Users\fang_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fang_l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2615" cy="486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宋体" w:eastAsia="仿宋_GB2312"/>
          <w:bCs/>
          <w:sz w:val="32"/>
          <w:szCs w:val="32"/>
        </w:rPr>
        <w:t>附图1：和平街周边片区成片开发位置示意图</w:t>
      </w:r>
    </w:p>
    <w:sectPr>
      <w:pgSz w:w="16838" w:h="11906" w:orient="landscape"/>
      <w:pgMar w:top="1474" w:right="1984" w:bottom="1587" w:left="2098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id w:val="58834674"/>
                          </w:sdtPr>
                          <w:sdtEndP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</w:sdtEndPr>
                          <w:sdtContent>
                            <w:p>
                              <w:pPr>
                                <w:pStyle w:val="4"/>
                                <w:jc w:val="center"/>
                              </w:pPr>
                              <w:r>
                                <w:rPr>
                                  <w:rFonts w:hint="eastAsia" w:ascii="仿宋_GB2312" w:hAnsi="仿宋_GB2312" w:eastAsia="仿宋_GB2312" w:cs="仿宋_GB2312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仿宋_GB2312" w:hAnsi="仿宋_GB2312" w:eastAsia="仿宋_GB2312" w:cs="仿宋_GB2312"/>
                                  <w:sz w:val="28"/>
                                  <w:szCs w:val="28"/>
                                </w:rPr>
                                <w:instrText xml:space="preserve">PAGE   \* MERGEFORMAT</w:instrText>
                              </w:r>
                              <w:r>
                                <w:rPr>
                                  <w:rFonts w:hint="eastAsia" w:ascii="仿宋_GB2312" w:hAnsi="仿宋_GB2312" w:eastAsia="仿宋_GB2312" w:cs="仿宋_GB2312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仿宋_GB2312" w:hAnsi="仿宋_GB2312" w:eastAsia="仿宋_GB2312" w:cs="仿宋_GB2312"/>
                                  <w:sz w:val="28"/>
                                  <w:szCs w:val="28"/>
                                  <w:lang w:val="zh-CN"/>
                                </w:rPr>
                                <w:t>-</w:t>
                              </w:r>
                              <w:r>
                                <w:rPr>
                                  <w:rFonts w:ascii="仿宋_GB2312" w:hAnsi="仿宋_GB2312" w:eastAsia="仿宋_GB2312" w:cs="仿宋_GB2312"/>
                                  <w:sz w:val="28"/>
                                  <w:szCs w:val="28"/>
                                </w:rPr>
                                <w:t xml:space="preserve"> 3 -</w:t>
                              </w:r>
                              <w:r>
                                <w:rPr>
                                  <w:rFonts w:hint="eastAsia" w:ascii="仿宋_GB2312" w:hAnsi="仿宋_GB2312" w:eastAsia="仿宋_GB2312" w:cs="仿宋_GB2312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id w:val="58834674"/>
                    </w:sdtPr>
                    <w:sdtEndP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</w:sdtEndPr>
                    <w:sdtContent>
                      <w:p>
                        <w:pPr>
                          <w:pStyle w:val="4"/>
                          <w:jc w:val="center"/>
                        </w:pPr>
                        <w:r>
                          <w:rPr>
                            <w:rFonts w:hint="eastAsia" w:ascii="仿宋_GB2312" w:hAnsi="仿宋_GB2312" w:eastAsia="仿宋_GB2312" w:cs="仿宋_GB2312"/>
                            <w:sz w:val="28"/>
                            <w:szCs w:val="28"/>
                          </w:rPr>
                          <w:fldChar w:fldCharType="begin"/>
                        </w:r>
                        <w:r>
                          <w:rPr>
                            <w:rFonts w:hint="eastAsia" w:ascii="仿宋_GB2312" w:hAnsi="仿宋_GB2312" w:eastAsia="仿宋_GB2312" w:cs="仿宋_GB2312"/>
                            <w:sz w:val="28"/>
                            <w:szCs w:val="28"/>
                          </w:rPr>
                          <w:instrText xml:space="preserve">PAGE   \* MERGEFORMAT</w:instrText>
                        </w:r>
                        <w:r>
                          <w:rPr>
                            <w:rFonts w:hint="eastAsia" w:ascii="仿宋_GB2312" w:hAnsi="仿宋_GB2312" w:eastAsia="仿宋_GB2312" w:cs="仿宋_GB2312"/>
                            <w:sz w:val="28"/>
                            <w:szCs w:val="28"/>
                          </w:rPr>
                          <w:fldChar w:fldCharType="separate"/>
                        </w:r>
                        <w:r>
                          <w:rPr>
                            <w:rFonts w:ascii="仿宋_GB2312" w:hAnsi="仿宋_GB2312" w:eastAsia="仿宋_GB2312" w:cs="仿宋_GB2312"/>
                            <w:sz w:val="28"/>
                            <w:szCs w:val="28"/>
                            <w:lang w:val="zh-CN"/>
                          </w:rPr>
                          <w:t>-</w:t>
                        </w:r>
                        <w:r>
                          <w:rPr>
                            <w:rFonts w:ascii="仿宋_GB2312" w:hAnsi="仿宋_GB2312" w:eastAsia="仿宋_GB2312" w:cs="仿宋_GB2312"/>
                            <w:sz w:val="28"/>
                            <w:szCs w:val="28"/>
                          </w:rPr>
                          <w:t xml:space="preserve"> 3 -</w:t>
                        </w:r>
                        <w:r>
                          <w:rPr>
                            <w:rFonts w:hint="eastAsia" w:ascii="仿宋_GB2312" w:hAnsi="仿宋_GB2312" w:eastAsia="仿宋_GB2312" w:cs="仿宋_GB2312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  <w:p/>
                </w:txbxContent>
              </v:textbox>
            </v:shape>
          </w:pict>
        </mc:Fallback>
      </mc:AlternateContent>
    </w:r>
  </w:p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3563CF"/>
    <w:multiLevelType w:val="multilevel"/>
    <w:tmpl w:val="5A3563CF"/>
    <w:lvl w:ilvl="0" w:tentative="0">
      <w:start w:val="1"/>
      <w:numFmt w:val="chineseCountingThousand"/>
      <w:pStyle w:val="2"/>
      <w:lvlText w:val="%1、"/>
      <w:lvlJc w:val="left"/>
      <w:pPr>
        <w:ind w:left="420" w:hanging="420"/>
      </w:pPr>
    </w:lvl>
    <w:lvl w:ilvl="1" w:tentative="0">
      <w:start w:val="1"/>
      <w:numFmt w:val="chineseCountingThousand"/>
      <w:lvlText w:val="(%2)"/>
      <w:lvlJc w:val="left"/>
      <w:pPr>
        <w:ind w:left="1500" w:hanging="1080"/>
      </w:pPr>
      <w:rPr>
        <w:rFonts w:hint="default"/>
      </w:rPr>
    </w:lvl>
    <w:lvl w:ilvl="2" w:tentative="0">
      <w:start w:val="1"/>
      <w:numFmt w:val="decimal"/>
      <w:lvlText w:val="（%3）"/>
      <w:lvlJc w:val="left"/>
      <w:pPr>
        <w:ind w:left="1590" w:hanging="750"/>
      </w:pPr>
      <w:rPr>
        <w:rFonts w:ascii="宋体" w:hAnsi="宋体" w:eastAsia="宋体" w:cstheme="minorBidi"/>
      </w:r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hiMGI2ODA0NDk2YzIyNWY1N2JiZmRkMWM1MWUyNGEifQ=="/>
  </w:docVars>
  <w:rsids>
    <w:rsidRoot w:val="008206CE"/>
    <w:rsid w:val="00092A71"/>
    <w:rsid w:val="000D625A"/>
    <w:rsid w:val="000D68B1"/>
    <w:rsid w:val="000E0CB3"/>
    <w:rsid w:val="001124C3"/>
    <w:rsid w:val="00121385"/>
    <w:rsid w:val="00133AFE"/>
    <w:rsid w:val="0017500E"/>
    <w:rsid w:val="00192A04"/>
    <w:rsid w:val="001B343A"/>
    <w:rsid w:val="001F3BEC"/>
    <w:rsid w:val="00203CA3"/>
    <w:rsid w:val="002212B4"/>
    <w:rsid w:val="00243F60"/>
    <w:rsid w:val="002900E7"/>
    <w:rsid w:val="00291E9A"/>
    <w:rsid w:val="002A371B"/>
    <w:rsid w:val="002D63E5"/>
    <w:rsid w:val="002D695C"/>
    <w:rsid w:val="00306A59"/>
    <w:rsid w:val="00324166"/>
    <w:rsid w:val="003402B4"/>
    <w:rsid w:val="00363B8A"/>
    <w:rsid w:val="003B254B"/>
    <w:rsid w:val="003C013F"/>
    <w:rsid w:val="003D5CCE"/>
    <w:rsid w:val="004115CE"/>
    <w:rsid w:val="0045559D"/>
    <w:rsid w:val="0047022B"/>
    <w:rsid w:val="004B3819"/>
    <w:rsid w:val="004C3CEC"/>
    <w:rsid w:val="004E52D9"/>
    <w:rsid w:val="004E6FA6"/>
    <w:rsid w:val="005446DC"/>
    <w:rsid w:val="00556518"/>
    <w:rsid w:val="005612EF"/>
    <w:rsid w:val="005855FA"/>
    <w:rsid w:val="005C4C7E"/>
    <w:rsid w:val="005F2900"/>
    <w:rsid w:val="005F7972"/>
    <w:rsid w:val="006112A2"/>
    <w:rsid w:val="00654B30"/>
    <w:rsid w:val="00741F64"/>
    <w:rsid w:val="007E5E8F"/>
    <w:rsid w:val="0081107F"/>
    <w:rsid w:val="00813232"/>
    <w:rsid w:val="008206CE"/>
    <w:rsid w:val="00833DA8"/>
    <w:rsid w:val="00837B0E"/>
    <w:rsid w:val="0089239A"/>
    <w:rsid w:val="00892FF5"/>
    <w:rsid w:val="008C2457"/>
    <w:rsid w:val="008E4700"/>
    <w:rsid w:val="009167B1"/>
    <w:rsid w:val="009D505D"/>
    <w:rsid w:val="009D779D"/>
    <w:rsid w:val="009E2A66"/>
    <w:rsid w:val="009E7626"/>
    <w:rsid w:val="00A13E0C"/>
    <w:rsid w:val="00A70559"/>
    <w:rsid w:val="00A76781"/>
    <w:rsid w:val="00A92764"/>
    <w:rsid w:val="00AA3880"/>
    <w:rsid w:val="00AA6605"/>
    <w:rsid w:val="00AC134A"/>
    <w:rsid w:val="00B35D53"/>
    <w:rsid w:val="00B37B2B"/>
    <w:rsid w:val="00B40891"/>
    <w:rsid w:val="00B44426"/>
    <w:rsid w:val="00B466A4"/>
    <w:rsid w:val="00B62A83"/>
    <w:rsid w:val="00BE0216"/>
    <w:rsid w:val="00BF577B"/>
    <w:rsid w:val="00C02B56"/>
    <w:rsid w:val="00C220EA"/>
    <w:rsid w:val="00C91473"/>
    <w:rsid w:val="00C968E3"/>
    <w:rsid w:val="00CB02C9"/>
    <w:rsid w:val="00CC6411"/>
    <w:rsid w:val="00CD251D"/>
    <w:rsid w:val="00CF55B1"/>
    <w:rsid w:val="00D3426A"/>
    <w:rsid w:val="00D34E3A"/>
    <w:rsid w:val="00D42F39"/>
    <w:rsid w:val="00D76033"/>
    <w:rsid w:val="00D83EC3"/>
    <w:rsid w:val="00D87007"/>
    <w:rsid w:val="00E01AF7"/>
    <w:rsid w:val="00E12AB6"/>
    <w:rsid w:val="00E12F6C"/>
    <w:rsid w:val="00E70ACD"/>
    <w:rsid w:val="00E814F1"/>
    <w:rsid w:val="00E95CDA"/>
    <w:rsid w:val="00EA7E2C"/>
    <w:rsid w:val="00F07313"/>
    <w:rsid w:val="00F158DF"/>
    <w:rsid w:val="00F24DC4"/>
    <w:rsid w:val="00F57216"/>
    <w:rsid w:val="00F72FDB"/>
    <w:rsid w:val="00F744E6"/>
    <w:rsid w:val="00F91033"/>
    <w:rsid w:val="00F91CAB"/>
    <w:rsid w:val="00FA23B9"/>
    <w:rsid w:val="00FB6CA5"/>
    <w:rsid w:val="00FC3530"/>
    <w:rsid w:val="00FC4BCC"/>
    <w:rsid w:val="30A57343"/>
    <w:rsid w:val="44E0784E"/>
    <w:rsid w:val="5A8A058D"/>
    <w:rsid w:val="64205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numPr>
        <w:ilvl w:val="0"/>
        <w:numId w:val="1"/>
      </w:numPr>
      <w:spacing w:line="578" w:lineRule="auto"/>
      <w:outlineLvl w:val="0"/>
    </w:pPr>
    <w:rPr>
      <w:rFonts w:eastAsia="微软雅黑"/>
      <w:b/>
      <w:bCs/>
      <w:kern w:val="44"/>
      <w:sz w:val="32"/>
      <w:szCs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标题 1 Char"/>
    <w:basedOn w:val="9"/>
    <w:link w:val="2"/>
    <w:qFormat/>
    <w:uiPriority w:val="9"/>
    <w:rPr>
      <w:rFonts w:eastAsia="微软雅黑"/>
      <w:b/>
      <w:bCs/>
      <w:kern w:val="44"/>
      <w:sz w:val="32"/>
      <w:szCs w:val="44"/>
    </w:rPr>
  </w:style>
  <w:style w:type="character" w:customStyle="1" w:styleId="11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2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3">
    <w:name w:val="批注框文本 Char"/>
    <w:basedOn w:val="9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83C5560-0721-4EE0-A750-A34D74DAB27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fzghy</Company>
  <Pages>5</Pages>
  <Words>1463</Words>
  <Characters>1601</Characters>
  <Lines>56</Lines>
  <Paragraphs>46</Paragraphs>
  <TotalTime>336</TotalTime>
  <ScaleCrop>false</ScaleCrop>
  <LinksUpToDate>false</LinksUpToDate>
  <CharactersWithSpaces>1604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2021-02-08T09:24:00Z</dcterms:created>
  <dc:creator>刘龙华</dc:creator>
  <cp:lastModifiedBy>WPS_1523435612</cp:lastModifiedBy>
  <cp:lastPrinted>2022-08-24T01:23:00Z</cp:lastPrinted>
  <dcterms:modified xsi:type="dcterms:W3CDTF">2022-09-26T06:32:02Z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FCF92494F1144F458C412A385E091D5C</vt:lpwstr>
  </property>
</Properties>
</file>